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ascii="黑体" w:hAnsi="黑体" w:eastAsia="黑体" w:cs="宋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b/>
          <w:sz w:val="44"/>
          <w:szCs w:val="44"/>
        </w:rPr>
        <w:t>成安县教育体育局2018年部门预算公开</w:t>
      </w:r>
    </w:p>
    <w:p>
      <w:pPr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情况说明</w:t>
      </w:r>
    </w:p>
    <w:bookmarkEnd w:id="0"/>
    <w:p>
      <w:pPr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360" w:lineRule="auto"/>
        <w:ind w:firstLine="64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部门职责及机构设置情况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部门职责：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（一）贯彻执行全县文化、教育、体育工作路线、方针、政策、法令和规章制度，制订具体实施计划，并组织实施；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（二）研究制订全县各级教育事业长远规划和年度规划，协调、处理执行过程中的有关问题；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（三）指导各级各类学校的德育、智育、体育、美育、劳动技术教育、开展勤工俭学；负责对所属单位干部、职工队伍的配备、考核、评估、奖惩；</w:t>
      </w:r>
    </w:p>
    <w:p>
      <w:pPr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（四）</w:t>
      </w:r>
      <w:r>
        <w:rPr>
          <w:rFonts w:hint="eastAsia" w:ascii="仿宋" w:hAnsi="仿宋" w:eastAsia="仿宋" w:cs="Times New Roman"/>
          <w:sz w:val="32"/>
          <w:szCs w:val="32"/>
        </w:rPr>
        <w:t>管理全县文化、教育、体育经费管理和监督、检查经费的使用情况。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（五）指导配合各部门、各行业、各社会团体开展体育活动，推动群众体育社会化；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（六）制订全县性体育竞赛计划，承办上级体育竞赛，指导全县体育竞赛工作；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（七）完成上级业务部门、县委、人大、政府、政协、纪检等交办的各项工作。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人员编制79名，其中领导职数6个。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机构设置：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center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部门内设机构及职责</w:t>
      </w:r>
    </w:p>
    <w:tbl>
      <w:tblPr>
        <w:tblStyle w:val="8"/>
        <w:tblW w:w="10735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3"/>
        <w:gridCol w:w="1554"/>
        <w:gridCol w:w="1545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933" w:type="dxa"/>
          </w:tcPr>
          <w:p>
            <w:pPr>
              <w:pStyle w:val="6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1554" w:type="dxa"/>
          </w:tcPr>
          <w:p>
            <w:pPr>
              <w:pStyle w:val="6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单位性质</w:t>
            </w:r>
          </w:p>
        </w:tc>
        <w:tc>
          <w:tcPr>
            <w:tcW w:w="1545" w:type="dxa"/>
          </w:tcPr>
          <w:p>
            <w:pPr>
              <w:pStyle w:val="6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单位规格</w:t>
            </w:r>
          </w:p>
        </w:tc>
        <w:tc>
          <w:tcPr>
            <w:tcW w:w="3703" w:type="dxa"/>
          </w:tcPr>
          <w:p>
            <w:pPr>
              <w:pStyle w:val="6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933" w:type="dxa"/>
          </w:tcPr>
          <w:p>
            <w:pPr>
              <w:pStyle w:val="6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成安县教育体育局</w:t>
            </w:r>
          </w:p>
        </w:tc>
        <w:tc>
          <w:tcPr>
            <w:tcW w:w="1554" w:type="dxa"/>
          </w:tcPr>
          <w:p>
            <w:pPr>
              <w:pStyle w:val="6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</w:t>
            </w:r>
          </w:p>
        </w:tc>
        <w:tc>
          <w:tcPr>
            <w:tcW w:w="1545" w:type="dxa"/>
          </w:tcPr>
          <w:p>
            <w:pPr>
              <w:pStyle w:val="6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正科级</w:t>
            </w:r>
          </w:p>
        </w:tc>
        <w:tc>
          <w:tcPr>
            <w:tcW w:w="3703" w:type="dxa"/>
          </w:tcPr>
          <w:p>
            <w:pPr>
              <w:pStyle w:val="6"/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财政拨款</w:t>
            </w: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成安县教育体育局，预算编码130424360，包含25个二级预算单位，内设7个内部机构。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办公室</w:t>
      </w:r>
    </w:p>
    <w:p>
      <w:pPr>
        <w:widowControl/>
        <w:spacing w:line="360" w:lineRule="auto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 xml:space="preserve">    主要负责：负责机关政务管理，组织筹备全局性会议；制订文教体育局事业发展规划和工作总结；负责管理机关文秘、信息、信访、保密、保卫、资料、普法、目标考核及后勤保障工作。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人事股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主要负责：协助编制、组织、人事部门对所属股级班子考察配备；根据空岗缺编情况，提交申请编制报告；接收师范类毕业生报到、招聘工作；负责本系统人事管理、劳动工资、职称评定、教师资格认定、年度考核工作；负责人事档案管理、计划生育、610工作、老干部及关心下一代工作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教育股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主要负责：制订全县基础教育、职业教育规划和年度计划；指导和推进九年义务教育实施，加快普及高中段教育，搞好中小学布局调整；负责各类学校教育管理、学籍管理、教师进修、幼儿教育，社会力量办学及教育教学目标管理评估奖惩工作；负责全县教育系统推广普通话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计财股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主要负责：制订文化、教育、体育事业经费计划、分配；负责多渠道筹资、标准化学校建设、危旧校舍改造和固定资产投入；负责财务统计、管理及财会队体建设、监督、机关后勤工作。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体卫股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主要负责：全县学校体育卫生保健工作；负责全县体育运动会的计划和组织筹备工作；指导中小学体育教育改革；组织裁判员、教练员队伍建设培训及初中毕业生体育加试工作；负责成人教育工作。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社会文化股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主要负责：综合管理社会文化艺术事业，制订、实施全县文化事业发展战略中长期发展规划；组织、协调全县重大文化艺术和社会文化活动，指导开展群众文化活动；做好全县文物保护、开发和利用工作；加强文化队伍建设，制订和实施人才培养规划，组织开展政策法规和职业技能培训；开展对外文化交流工作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社会事业股</w:t>
      </w:r>
    </w:p>
    <w:p>
      <w:pPr>
        <w:widowControl/>
        <w:spacing w:line="360" w:lineRule="auto"/>
        <w:ind w:firstLine="480" w:firstLineChars="150"/>
        <w:jc w:val="lef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 xml:space="preserve"> 主要负责：广播电影电视工作行政管理，包括广播电视节目、卫星电视节目收录，通过信息网络向公众传播电视节目市场，依法查处破坏广播电视设施等行为；全面挺好全县文化市场的监督、管理工作、认真做好“扫黄打非”工作，维护市场秩序。</w:t>
      </w:r>
    </w:p>
    <w:p>
      <w:pPr>
        <w:widowControl/>
        <w:numPr>
          <w:ilvl w:val="0"/>
          <w:numId w:val="1"/>
        </w:numPr>
        <w:spacing w:line="360" w:lineRule="auto"/>
        <w:ind w:firstLine="640"/>
        <w:jc w:val="left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部门预算安排总体情况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1、收入说明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2018年部门收入预算总额为</w:t>
      </w:r>
      <w:r>
        <w:rPr>
          <w:rFonts w:hint="eastAsia" w:ascii="仿宋" w:hAnsi="仿宋" w:eastAsia="仿宋" w:cs="仿宋_GB2312"/>
          <w:sz w:val="32"/>
          <w:szCs w:val="32"/>
        </w:rPr>
        <w:t>25233.86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其中：一般公共预算收入</w:t>
      </w:r>
      <w:r>
        <w:rPr>
          <w:rFonts w:hint="eastAsia" w:ascii="仿宋" w:hAnsi="仿宋" w:eastAsia="仿宋" w:cs="仿宋_GB2312"/>
          <w:sz w:val="32"/>
          <w:szCs w:val="32"/>
        </w:rPr>
        <w:t>25233.86</w:t>
      </w:r>
      <w:r>
        <w:rPr>
          <w:rFonts w:hint="eastAsia" w:ascii="仿宋" w:hAnsi="仿宋" w:eastAsia="仿宋" w:cs="仿宋"/>
          <w:sz w:val="32"/>
          <w:szCs w:val="32"/>
        </w:rPr>
        <w:t>万元，政府性基金收入0万元，国有资本经营收入0万元，事业收入0万元，其他收入0万元。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2、支出说明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部门支出预算总额为</w:t>
      </w:r>
      <w:r>
        <w:rPr>
          <w:rFonts w:hint="eastAsia" w:ascii="仿宋" w:hAnsi="仿宋" w:eastAsia="仿宋" w:cs="仿宋_GB2312"/>
          <w:sz w:val="32"/>
          <w:szCs w:val="32"/>
        </w:rPr>
        <w:t>25233.86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万元，其中：人员经费支出25211.94万元，项目经费0万元。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3、比上年增减情况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</w:t>
      </w:r>
      <w:r>
        <w:rPr>
          <w:rFonts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预算收支安排25233.86万元，比去年减少了2854.02万元，主要原因是</w:t>
      </w:r>
      <w:r>
        <w:rPr>
          <w:rFonts w:hint="eastAsia" w:ascii="仿宋" w:hAnsi="仿宋" w:eastAsia="仿宋" w:cs="仿宋"/>
          <w:sz w:val="32"/>
          <w:szCs w:val="32"/>
        </w:rPr>
        <w:t>项目资金减少。</w:t>
      </w:r>
    </w:p>
    <w:p>
      <w:pPr>
        <w:pStyle w:val="1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机关运行经费安排情况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2018年，我单位安排机关运行费10万元，包括：办公费、差旅费、印刷费、手续费、培训费、公务接待费等日常运行支出。</w:t>
      </w:r>
    </w:p>
    <w:p>
      <w:pPr>
        <w:autoSpaceDE w:val="0"/>
        <w:autoSpaceDN w:val="0"/>
        <w:adjustRightInd w:val="0"/>
        <w:ind w:firstLine="64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三、财政拨款</w:t>
      </w:r>
      <w:r>
        <w:rPr>
          <w:rFonts w:ascii="仿宋" w:hAnsi="仿宋" w:eastAsia="仿宋" w:cs="Times New Roman"/>
          <w:b/>
          <w:sz w:val="32"/>
          <w:szCs w:val="32"/>
        </w:rPr>
        <w:t>“</w:t>
      </w:r>
      <w:r>
        <w:rPr>
          <w:rFonts w:hint="eastAsia" w:ascii="仿宋" w:hAnsi="仿宋" w:eastAsia="仿宋" w:cs="Times New Roman"/>
          <w:b/>
          <w:sz w:val="32"/>
          <w:szCs w:val="32"/>
        </w:rPr>
        <w:t>三公</w:t>
      </w:r>
      <w:r>
        <w:rPr>
          <w:rFonts w:ascii="仿宋" w:hAnsi="仿宋" w:eastAsia="仿宋" w:cs="Times New Roman"/>
          <w:b/>
          <w:sz w:val="32"/>
          <w:szCs w:val="32"/>
        </w:rPr>
        <w:t>”</w:t>
      </w:r>
      <w:r>
        <w:rPr>
          <w:rFonts w:hint="eastAsia" w:ascii="仿宋" w:hAnsi="仿宋" w:eastAsia="仿宋" w:cs="Times New Roman"/>
          <w:b/>
          <w:sz w:val="32"/>
          <w:szCs w:val="32"/>
        </w:rPr>
        <w:t>经费预算情况及增减变化原因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2018年，我单位“三公”预算支出1万元，其中，因公出国（境）费0元，安排公务用车维护费0.3万元，（其中公务用车购置费0元，公务用车运行维护费0.3万元），公务接等费0.2万元，会议费0.5万元，与2017年减少76%。由于2016年公车拍卖，2017年实行车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车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改以后单位实施节约制度，油修费预算安排减少。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四、绩效预算情况（见下页）</w:t>
      </w:r>
    </w:p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</w:pPr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360</w:t>
            </w:r>
            <w:r>
              <w:rPr>
                <w:rFonts w:hint="eastAsia" w:ascii="方正小标宋_GBK" w:eastAsia="方正小标宋_GBK"/>
                <w:sz w:val="24"/>
              </w:rPr>
              <w:t>成安县教育体育局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学前教育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实施学前教育重点项目，支持和引导扩大学前教育资源，缓解当前存在的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入园难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、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入园贵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问题。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调整完善财政支持政策，增强资金配置的科学性，提高幼儿园入园率和扩大在园幼儿数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有效缓解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入园难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、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入园贵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等问题。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扩大教育资源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通过利用农村闲置校舍改建幼儿园、农村小学增设附属幼儿园、开展学前教育巡回支教试点、实施民办幼儿园综合奖补等方式，支持农村扩大学前教育资源。对家庭经济困难的儿童以及残疾儿童予以资助。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扩大学前教育资源，保证园舍的安全，配备必要的玩教具、保教和生活设施设备，对偏远地区适龄儿童和家长提供灵活多样的学前教育巡回指导。帮助家庭经济困难儿童、孤儿和残疾儿童接受普惠性学前教育。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在园幼儿数达到</w:t>
            </w:r>
            <w:r>
              <w:rPr>
                <w:rFonts w:ascii="方正书宋_GBK" w:eastAsia="方正书宋_GBK"/>
              </w:rPr>
              <w:t>210</w:t>
            </w:r>
            <w:r>
              <w:rPr>
                <w:rFonts w:hint="eastAsia" w:ascii="方正书宋_GBK" w:eastAsia="方正书宋_GBK"/>
              </w:rPr>
              <w:t>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实施民办幼儿园综合奖补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结合学前教育工作开展情况，给予适当奖励性补助，用于支持普惠性民办幼儿园支付园舍租金，补充玩教具、保教和生活设施设备、校舍维修改造、弥补公用经费不足等。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促使民办幼儿园提供普惠性服务，促使民办幼儿园自主发展，提高办园质量与水平，从而真正实现公办民办并举的学前教育体制，保障适龄儿童接受基本的、有质量的学前教育。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幼儿毛入园率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实施学前教育资助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普惠性幼儿园在园的孤儿、烈士子女，优抚、低保家庭子女，纳入农村特困救助范围的家庭子女，父母一方死亡、离异的单亲贫困家庭子女，因受灾、疾病等原因导致家庭经济困难的儿童以及残疾儿童予以资助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帮助家庭经济困难儿童、孤儿和残疾儿童接受普惠性学前教育。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适龄儿童毛入园率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义务教育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1268.00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以农村教育为重点，推进义务教育均衡发展，建立中小学校舍安全保障机制，改善薄弱学校办学条件，促进公共教育资源向农村和经济欠发达地区倾斜。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提高义务教育公用经费保障水平，改善办学条件，均衡配置基础教育资源，缩小城乡、区域、校际之间办学差距，落实学生资助政策。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发展农村义务教育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1268.00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推进农村义务教育经费保障机制改革，提高农村中小学公用经费水平，完善校舍维修改造长效机制，补助贫困寄宿生活生活费，为农村学生免费提供教科书。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保障农村中小学正常运转，保证学校校舍安全，资助家庭经济困难寄宿学生，向农村义务教育学生和城市区家庭经济困难学生免费提供教科书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所有农村义务教育学生免费提供一套教科书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初中入学率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小学入学率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新建、改扩建和维修校舍面积（万平方米）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补助贫困寄宿生生活费人数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公用经费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公用经费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普通高中教育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168.14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建立健全普通高中国家助学金制度，改善普通高中办学件。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提高高中毛入学率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改善办学条件和学生资助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168.14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改善薄弱高中学校办学条件，对贫困高中学生发放助学金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推动高中教育发展，扩大高中教育规模；确保贫困高中学生顺利完成学业。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资助高中贫困学生数（万人</w:t>
            </w:r>
            <w:r>
              <w:rPr>
                <w:rFonts w:ascii="方正书宋_GBK" w:eastAsia="方正书宋_GBK"/>
              </w:rPr>
              <w:t>)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高中毛入学率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525" w:firstLineChars="25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职业教育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53.29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大力发展职业教育，坚持以就业为导向，深化职业教育教学改革，增强职业教育发展活力。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改善职业院校办学条件，建设职业教育实训基地，深化校企合作、产教融合，落实学生资助、奖励政策。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提高中职学校办学能力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53.29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改善职业学校办学条件；落实中等职业学校免学费政策，资助家庭经济困难学生。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职业学校办学水平和综合实力进一步提高，职业教育为全县经济社会发展服务的能力进一步增强；按国家标准科学、准确测算，及时拨付免学费资金和发放助学金。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困难学生辍学率（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院校资金发放到位率（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院校资金测算准确率（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成人和民办教育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加强民办教育的统筹规划和管理，完善民办教育政策措施，规范办学秩序，促进民办教育事业发展。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构建学习型社会，发展成人教育、继续教育，促进民办教育发展，提高民办学校办学质量。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支持非学历继续教育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整合教育资源，组建高等学校、科研机构、大型企业联合教育基地和社区教育中心，支持社会力量发等展非学历继续教育。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支持非学历继续教育发展，提高公民受教育水平。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支持非学历继续教育发展，提高公民受教育水平。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实施民办学校综合奖补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完善促进民办教育发展的优惠政策，对发展民办教育作出突出贡献的组织、学校和个人给予奖励和表彰。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发展民办非义务教育和多种形式的职业技能培训，办好一批高水平民办学校，科学、公平、合理确定民办学校奖励范围。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发展民办非义务教育和多种形式的职业技能培训，办好一批高水平民办学校，科学、公平、合理确定民办学校奖励范围。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教师队伍建设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主管全县教师工作；负责全县中小学教师资格标准的实施；统筹规划和指导学校教师及管理人员队伍建设。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完成中小学骨干、学科教师培训，高层次、优秀人才引进计划，提高特殊群体教师待遇。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教师培养与培训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开展中小学骨干、学科教师等专项培训，完成中小学教师国家级培训计划。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培训中小学骨干教师、学科教师，提高中小学教师的业务水平和教学能力。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培训教师人数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培训合格率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教师满意度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提高特殊群体教师待遇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为代课教师发放教龄补助，对边远乡村教师发放生活补助。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提高特殊群体教师待遇。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资金测算准确率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院校资金发放到位率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教育政务管理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115.25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负责教育系统综合业务管理和机关综合事务管理。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依法行政，构建人民群众满意、勤政廉洁的政府部门；保障工作正常高效运行，相关工作顺利开展。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85.25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做好教育政策制订、教育改革、教育科研、教育信息化建设等工作。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做好各项教育管理工作。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厅机关职能执行率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综合事物管理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做好会议培训组织，内部信息化建设与维护，财务和资产管理，标准化建设，基础设施维修，大型设备购置，人事、党务以及老干部管理等工作。负责直属企事业单位管理工作。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保障机关工作正常高效运转。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厅机关正常运转率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特殊教育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完成特殊教育儿童的义务教育工作，改善教学条件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特殊教育儿童的就读率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特殊教育补助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开展特殊儿童教育活动，改善教学条件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特殊教育条件完善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特教学生退学率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教科研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教育科研、教学研究、教学管理和教学指导工作。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根据教学需要，研究教育思想、教学理论、课程设置、教学内容、教学方法、教学手段和教学评价等。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教研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多层次、多形式的教学研究活动，组织教师学习课程标准（教学计划），钻研、掌握课程标准（教学大纲）和教材，努力改革课堂教学模式，改进教学方法，加强学生的教学参与意识，确立学生的主体地位，恰当应用教育技术，提高课堂教学效益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组织开展有利于教师业务素质提高的教学基本功竞赛、评优课、优秀论文评比等活动，实施名师工程，推进教师队伍整体水平提升。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评选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教坛新秀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、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教学中坚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等活动。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科研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视借鉴吸收国内外先进成果、经验和前沿信息，及时发现、总结、推广本县教学经验、管理经验，组织教学观摩、研讨和教改实验，探索管理规律和教学规律，提高教学管理水准和教师教学水平，推动教学改革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组织研究成果评选；参与省、市教科研部门组织的学术交流、研究报告、论文案例等评选活动。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评选名师，筹建名师工作室。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教学管理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加强学科教学的检查和指导，努力提高教师执行教学常规的自觉性，提高教学常规各环节的质量。开展教学调查研究活动，分析教学情况，提出改进教学、提高教学质量的意见和措施。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组织对各学科教学质量的过程监控和质量评估，研究考试方法的改革。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调查研究教学情况，检查、指导学校教学工作。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发展体育事业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推动多元化体育服务体系建设，推动体育公共服务和体育体制改革。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加强体育公共服务体系建设，促进全县体育事业全面协调可持续发展。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发展群众体育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落实《全民健身条例》，推行全民健身计划，组织开展群众体育活动，加强群众体育设施建设，指导群众科学健身，指导开展群众性体育活动，会同有关部门举办全县残疾人、农民、少数民族、职工综合性运动会，培训社会体育指导员，开展国民体质监测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发展全民健身事业，完善全民健身服务体系，满足群众健身需求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指导组织开展大型全民健身活动次数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培养社会体育指导员人数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全民健身工程个数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国民体质监测人次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发展竞技体育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组织县级专业运动队参加国际、国内大型运动会和体育单项竞技比赛；组织举办全县运动会和县级单项体育比赛。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提高全县竞技体育水平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参加全国年度体育赛事成绩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举办比赛次数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退役运动员安置率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发展青少年体育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监督青少年体育锻炼标准的实施，指导青少年业余训练以及体育运动学校、体育传统项目学校、青少年体育俱乐部的建设工作，会同有关部门举办全县中（小）学生综合性运动会；组织开展全县高水平体育后备人才培养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提高青少年身体素质和竞技水平，培养和选拔高水平体育后备人才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创办国家级青少年体育俱乐部个数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输送高水平体育后备人才人数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县级以上高水平基地个数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体育教学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开展体育教学，加强体育专业人才培养。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优化学科专业课程、师资队伍，提高科研、竞训水平，培养适应社会需要的体育人才，促进竞技体育发展，开展反兴奋剂工作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学科建设水平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毕业生就业率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比赛成绩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反兴奋剂检测人次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体育设施建设和维护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指导加强体育场馆、基地等体育设施建设，开展公共体育设施监督管理。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加强体育健身设施建设，不断满足社会对体育健身设施的需求。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完成年度基本建设和维修改造计划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负责系统综合业务管理和机关综合事务管理。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确保各项业务工作谋划到位、顺利开展。保障机关工作正常高效运转。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拟定体育事业和产业发展规划、政策制度和行业标准，加强督导落实，管理审批体育经营活动，开展体育赛事管理、体育交流合作宣传以及教练员运动员伙食补助等。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确保各项业务工作谋划到位、顺利开展。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各项工作落实到位率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主要开展设施维护运行等保障运转工作。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保障机关工作正常高效运转。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设施运转保障程度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上级专项补助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3477.00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上级专项补助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上级专项补助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上级专项补助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3477.00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上级专项补助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五、政府采购预算情况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 按照政府采购相关法律法规要求，结合我局实际，2018年拟采购打印机4台，每台0.15万元，合计0.6万元；电脑1台，每台0.4万元，共计1万元。具体内容见下表。</w:t>
      </w:r>
    </w:p>
    <w:p>
      <w:pPr>
        <w:widowControl/>
        <w:spacing w:line="360" w:lineRule="auto"/>
        <w:ind w:firstLine="640" w:firstLineChars="200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部门政府采购预算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1105"/>
        <w:gridCol w:w="1204"/>
        <w:gridCol w:w="1153"/>
        <w:gridCol w:w="910"/>
        <w:gridCol w:w="910"/>
        <w:gridCol w:w="934"/>
        <w:gridCol w:w="931"/>
        <w:gridCol w:w="931"/>
        <w:gridCol w:w="931"/>
        <w:gridCol w:w="847"/>
        <w:gridCol w:w="913"/>
        <w:gridCol w:w="913"/>
        <w:gridCol w:w="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5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部门（单位）：名称成安县教育体育局</w:t>
            </w:r>
          </w:p>
        </w:tc>
        <w:tc>
          <w:tcPr>
            <w:tcW w:w="2105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政府采购项目来源</w:t>
            </w:r>
          </w:p>
        </w:tc>
        <w:tc>
          <w:tcPr>
            <w:tcW w:w="40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采购物品名称</w:t>
            </w:r>
          </w:p>
        </w:tc>
        <w:tc>
          <w:tcPr>
            <w:tcW w:w="384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政府采购目录序号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数量单位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数量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单价</w:t>
            </w:r>
          </w:p>
        </w:tc>
        <w:tc>
          <w:tcPr>
            <w:tcW w:w="2105" w:type="pct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  <w:jc w:val="center"/>
        </w:trPr>
        <w:tc>
          <w:tcPr>
            <w:tcW w:w="82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项目名称</w:t>
            </w:r>
          </w:p>
        </w:tc>
        <w:tc>
          <w:tcPr>
            <w:tcW w:w="36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预算资金</w:t>
            </w:r>
          </w:p>
        </w:tc>
        <w:tc>
          <w:tcPr>
            <w:tcW w:w="40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84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总计</w:t>
            </w:r>
          </w:p>
        </w:tc>
        <w:tc>
          <w:tcPr>
            <w:tcW w:w="1510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当年部门预算安排资金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68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40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84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合计</w:t>
            </w:r>
          </w:p>
        </w:tc>
        <w:tc>
          <w:tcPr>
            <w:tcW w:w="310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一般公共预算拨款</w:t>
            </w:r>
          </w:p>
        </w:tc>
        <w:tc>
          <w:tcPr>
            <w:tcW w:w="282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基金预算拨款</w:t>
            </w:r>
          </w:p>
        </w:tc>
        <w:tc>
          <w:tcPr>
            <w:tcW w:w="30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财政专户核拨</w:t>
            </w:r>
          </w:p>
        </w:tc>
        <w:tc>
          <w:tcPr>
            <w:tcW w:w="304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方正书宋_GBK"/>
                <w:bCs/>
              </w:rPr>
              <w:t>其他来源收入</w:t>
            </w:r>
          </w:p>
        </w:tc>
        <w:tc>
          <w:tcPr>
            <w:tcW w:w="285" w:type="pct"/>
            <w:vMerge w:val="continue"/>
            <w:vAlign w:val="center"/>
          </w:tcPr>
          <w:p>
            <w:pPr>
              <w:spacing w:line="24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合计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打印机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0.65</w:t>
            </w:r>
          </w:p>
        </w:tc>
        <w:tc>
          <w:tcPr>
            <w:tcW w:w="401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台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4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0.15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0.6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0.6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电脑</w:t>
            </w:r>
          </w:p>
        </w:tc>
        <w:tc>
          <w:tcPr>
            <w:tcW w:w="368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0.5</w:t>
            </w:r>
          </w:p>
        </w:tc>
        <w:tc>
          <w:tcPr>
            <w:tcW w:w="401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lef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台</w:t>
            </w:r>
          </w:p>
        </w:tc>
        <w:tc>
          <w:tcPr>
            <w:tcW w:w="303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1</w:t>
            </w:r>
          </w:p>
        </w:tc>
        <w:tc>
          <w:tcPr>
            <w:tcW w:w="311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0.4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0.4</w:t>
            </w: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Cs w:val="21"/>
              </w:rPr>
              <w:t>0.4</w:t>
            </w:r>
          </w:p>
        </w:tc>
        <w:tc>
          <w:tcPr>
            <w:tcW w:w="282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304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560" w:lineRule="exact"/>
              <w:jc w:val="righ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六、国有资产情况的说明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截止上年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末固定资产账面结余101.3万元。其中：房屋价值0万元，车辆价值0万元，其它资产办公用电脑、办公家具、专用设备等价值101.3万元。2018年我单位拟购置1万元。详见下表。</w:t>
      </w:r>
    </w:p>
    <w:p>
      <w:pPr>
        <w:widowControl/>
        <w:spacing w:line="360" w:lineRule="auto"/>
        <w:ind w:firstLine="640" w:firstLineChars="200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部门固定资产占有情况表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编制部门：360成安县教育体育局                          截止时间:2017年12月31日 </w:t>
      </w:r>
    </w:p>
    <w:tbl>
      <w:tblPr>
        <w:tblStyle w:val="7"/>
        <w:tblW w:w="5000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9"/>
        <w:gridCol w:w="1417"/>
        <w:gridCol w:w="6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2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——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101.3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、房屋（平方米）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其中：办公用房（平方米）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、车辆（台、辆）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万元以上的设备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、其他固定资产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0"/>
                <w:szCs w:val="30"/>
              </w:rPr>
              <w:t>101.3</w:t>
            </w:r>
          </w:p>
        </w:tc>
      </w:tr>
    </w:tbl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七、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名词解释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微软雅黑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微软雅黑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微软雅黑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八、其他需要说明的事项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</w:t>
      </w:r>
    </w:p>
    <w:p>
      <w:pPr>
        <w:widowControl/>
        <w:spacing w:line="360" w:lineRule="auto"/>
        <w:ind w:firstLine="420" w:firstLineChars="200"/>
        <w:jc w:val="left"/>
      </w:pPr>
    </w:p>
    <w:sectPr>
      <w:pgSz w:w="16839" w:h="11907" w:orient="landscape"/>
      <w:pgMar w:top="1134" w:right="1020" w:bottom="1134" w:left="102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7100C"/>
    <w:multiLevelType w:val="multilevel"/>
    <w:tmpl w:val="4CE7100C"/>
    <w:lvl w:ilvl="0" w:tentative="0">
      <w:start w:val="2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8512DE9"/>
    <w:multiLevelType w:val="singleLevel"/>
    <w:tmpl w:val="58512D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be76cc8-fff9-4a3d-95b2-59fdcaecff74"/>
  </w:docVars>
  <w:rsids>
    <w:rsidRoot w:val="00E810D6"/>
    <w:rsid w:val="00012778"/>
    <w:rsid w:val="00046571"/>
    <w:rsid w:val="000A42C4"/>
    <w:rsid w:val="000C16F5"/>
    <w:rsid w:val="000E10B0"/>
    <w:rsid w:val="00152653"/>
    <w:rsid w:val="001C4BD6"/>
    <w:rsid w:val="00273E63"/>
    <w:rsid w:val="002B3050"/>
    <w:rsid w:val="002D2853"/>
    <w:rsid w:val="002E3A95"/>
    <w:rsid w:val="002F7CEE"/>
    <w:rsid w:val="00313F08"/>
    <w:rsid w:val="0032661F"/>
    <w:rsid w:val="00350D0A"/>
    <w:rsid w:val="00361082"/>
    <w:rsid w:val="003634B1"/>
    <w:rsid w:val="00387026"/>
    <w:rsid w:val="003A20FB"/>
    <w:rsid w:val="003F60A1"/>
    <w:rsid w:val="00422F62"/>
    <w:rsid w:val="004C619F"/>
    <w:rsid w:val="004D3ED9"/>
    <w:rsid w:val="004F5045"/>
    <w:rsid w:val="00525582"/>
    <w:rsid w:val="0054792A"/>
    <w:rsid w:val="005A05CA"/>
    <w:rsid w:val="005B0C25"/>
    <w:rsid w:val="005D136A"/>
    <w:rsid w:val="005D7B6B"/>
    <w:rsid w:val="005F0521"/>
    <w:rsid w:val="0062621A"/>
    <w:rsid w:val="00627D3E"/>
    <w:rsid w:val="00663BEB"/>
    <w:rsid w:val="00685811"/>
    <w:rsid w:val="006D1C5B"/>
    <w:rsid w:val="007A507B"/>
    <w:rsid w:val="007D6BF0"/>
    <w:rsid w:val="008058DC"/>
    <w:rsid w:val="0081554D"/>
    <w:rsid w:val="00851520"/>
    <w:rsid w:val="00854590"/>
    <w:rsid w:val="008C7744"/>
    <w:rsid w:val="00920569"/>
    <w:rsid w:val="00926B95"/>
    <w:rsid w:val="00942DFF"/>
    <w:rsid w:val="009940E9"/>
    <w:rsid w:val="00A0759F"/>
    <w:rsid w:val="00A07D70"/>
    <w:rsid w:val="00A44E12"/>
    <w:rsid w:val="00B008C3"/>
    <w:rsid w:val="00B166D7"/>
    <w:rsid w:val="00B60C48"/>
    <w:rsid w:val="00BA168C"/>
    <w:rsid w:val="00C27019"/>
    <w:rsid w:val="00CF4178"/>
    <w:rsid w:val="00D14AA9"/>
    <w:rsid w:val="00D55FFE"/>
    <w:rsid w:val="00D63BB5"/>
    <w:rsid w:val="00D6652F"/>
    <w:rsid w:val="00DD1F84"/>
    <w:rsid w:val="00DD4CF4"/>
    <w:rsid w:val="00DE4ABF"/>
    <w:rsid w:val="00E5363B"/>
    <w:rsid w:val="00E810D6"/>
    <w:rsid w:val="00E96789"/>
    <w:rsid w:val="00F23C1B"/>
    <w:rsid w:val="00F44F47"/>
    <w:rsid w:val="00F76003"/>
    <w:rsid w:val="00FA5B3B"/>
    <w:rsid w:val="013B67CD"/>
    <w:rsid w:val="01C92FB7"/>
    <w:rsid w:val="01CA412B"/>
    <w:rsid w:val="037D399A"/>
    <w:rsid w:val="03B213E5"/>
    <w:rsid w:val="06096D52"/>
    <w:rsid w:val="06550E5D"/>
    <w:rsid w:val="0726741C"/>
    <w:rsid w:val="08D34D69"/>
    <w:rsid w:val="09E50DB9"/>
    <w:rsid w:val="0BB759F9"/>
    <w:rsid w:val="0CBF7A43"/>
    <w:rsid w:val="0DD4180B"/>
    <w:rsid w:val="130B706D"/>
    <w:rsid w:val="139106CF"/>
    <w:rsid w:val="13DE0FA8"/>
    <w:rsid w:val="163506CD"/>
    <w:rsid w:val="17252863"/>
    <w:rsid w:val="175940C0"/>
    <w:rsid w:val="17C16AC9"/>
    <w:rsid w:val="180D78B9"/>
    <w:rsid w:val="1AEF7278"/>
    <w:rsid w:val="1B2A5EA4"/>
    <w:rsid w:val="1CC97251"/>
    <w:rsid w:val="1CEB0A1C"/>
    <w:rsid w:val="1E8167C1"/>
    <w:rsid w:val="1EAA0AE1"/>
    <w:rsid w:val="1EDF1A3E"/>
    <w:rsid w:val="1F076209"/>
    <w:rsid w:val="21B66276"/>
    <w:rsid w:val="220D23A4"/>
    <w:rsid w:val="228819EE"/>
    <w:rsid w:val="236B2EDB"/>
    <w:rsid w:val="2716314B"/>
    <w:rsid w:val="288A4B30"/>
    <w:rsid w:val="28E516DB"/>
    <w:rsid w:val="299267B6"/>
    <w:rsid w:val="2AD57C75"/>
    <w:rsid w:val="2BAA47A7"/>
    <w:rsid w:val="2D122503"/>
    <w:rsid w:val="2DCE40BA"/>
    <w:rsid w:val="2E066AE5"/>
    <w:rsid w:val="2E2777CE"/>
    <w:rsid w:val="2EE04A84"/>
    <w:rsid w:val="31D059F4"/>
    <w:rsid w:val="32447D17"/>
    <w:rsid w:val="332A0BBD"/>
    <w:rsid w:val="3387759D"/>
    <w:rsid w:val="351C5D1D"/>
    <w:rsid w:val="367A60F8"/>
    <w:rsid w:val="36DF5EE5"/>
    <w:rsid w:val="38963AA1"/>
    <w:rsid w:val="39461E7C"/>
    <w:rsid w:val="39A75722"/>
    <w:rsid w:val="3B325A53"/>
    <w:rsid w:val="3B6E7B6E"/>
    <w:rsid w:val="3C712CD5"/>
    <w:rsid w:val="3CEC5D53"/>
    <w:rsid w:val="441C57E9"/>
    <w:rsid w:val="44240E6E"/>
    <w:rsid w:val="44986D47"/>
    <w:rsid w:val="456A5D0D"/>
    <w:rsid w:val="457C0C14"/>
    <w:rsid w:val="45B90BF3"/>
    <w:rsid w:val="460143F1"/>
    <w:rsid w:val="475B18CD"/>
    <w:rsid w:val="4A4F1F05"/>
    <w:rsid w:val="4B7040C7"/>
    <w:rsid w:val="4CA957E7"/>
    <w:rsid w:val="4D9730D4"/>
    <w:rsid w:val="4E4335D2"/>
    <w:rsid w:val="4EF321A0"/>
    <w:rsid w:val="531B2816"/>
    <w:rsid w:val="54C97044"/>
    <w:rsid w:val="56F63B45"/>
    <w:rsid w:val="58783216"/>
    <w:rsid w:val="59AF56D7"/>
    <w:rsid w:val="5B2B3FCD"/>
    <w:rsid w:val="5BAE356C"/>
    <w:rsid w:val="5CB07A05"/>
    <w:rsid w:val="5CB30E1B"/>
    <w:rsid w:val="5ED17601"/>
    <w:rsid w:val="60F20B27"/>
    <w:rsid w:val="612840F9"/>
    <w:rsid w:val="612F2391"/>
    <w:rsid w:val="61897173"/>
    <w:rsid w:val="63F21B1B"/>
    <w:rsid w:val="65493192"/>
    <w:rsid w:val="666C26EF"/>
    <w:rsid w:val="689A3CE8"/>
    <w:rsid w:val="6B511389"/>
    <w:rsid w:val="6CD9692F"/>
    <w:rsid w:val="6D5763C1"/>
    <w:rsid w:val="6D81148F"/>
    <w:rsid w:val="6E8006EE"/>
    <w:rsid w:val="6ECC4D84"/>
    <w:rsid w:val="70BA2DA1"/>
    <w:rsid w:val="71B87B2B"/>
    <w:rsid w:val="729B4F6A"/>
    <w:rsid w:val="733E01F4"/>
    <w:rsid w:val="7424079F"/>
    <w:rsid w:val="74D4598A"/>
    <w:rsid w:val="76FD3FC3"/>
    <w:rsid w:val="79323770"/>
    <w:rsid w:val="7AA5545A"/>
    <w:rsid w:val="7BA817F2"/>
    <w:rsid w:val="7BAA5900"/>
    <w:rsid w:val="7C930BE7"/>
    <w:rsid w:val="7D9A3104"/>
    <w:rsid w:val="7DB94919"/>
    <w:rsid w:val="7F6D3158"/>
    <w:rsid w:val="7F785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F3629-00E7-4F56-B3C5-AF90EC9DA9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6418</Words>
  <Characters>6712</Characters>
  <Lines>53</Lines>
  <Paragraphs>15</Paragraphs>
  <TotalTime>2</TotalTime>
  <ScaleCrop>false</ScaleCrop>
  <LinksUpToDate>false</LinksUpToDate>
  <CharactersWithSpaces>6796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2023-11-03T07:26:00Z</dcterms:created>
  <dc:creator>lenovo</dc:creator>
  <cp:lastModifiedBy>admin</cp:lastModifiedBy>
  <cp:lastPrinted>2016-04-01T02:44:00Z</cp:lastPrinted>
  <dcterms:modified xsi:type="dcterms:W3CDTF">2024-01-18T07:02:08Z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045EB9A833C14B23959742836A21313C</vt:lpwstr>
  </property>
</Properties>
</file>