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center"/>
        <w:rPr>
          <w:rFonts w:ascii="方正楷体_GBK" w:hAnsi="方正楷体_GBK"/>
          <w:b/>
          <w:bCs/>
          <w:sz w:val="44"/>
          <w:szCs w:val="44"/>
        </w:rPr>
      </w:pPr>
    </w:p>
    <w:p>
      <w:pPr>
        <w:widowControl/>
        <w:spacing w:line="580" w:lineRule="exact"/>
        <w:jc w:val="center"/>
        <w:rPr>
          <w:rFonts w:asciiTheme="majorEastAsia" w:hAnsiTheme="majorEastAsia" w:eastAsiaTheme="majorEastAsia"/>
          <w:b/>
          <w:color w:val="363636"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bCs/>
          <w:color w:val="363636"/>
          <w:kern w:val="0"/>
          <w:sz w:val="44"/>
          <w:szCs w:val="44"/>
        </w:rPr>
        <w:t>中国人民政治协商会议河北省成安县委员会2018年部门预算公开情况说明</w:t>
      </w:r>
    </w:p>
    <w:p>
      <w:pPr>
        <w:widowControl/>
        <w:spacing w:line="580" w:lineRule="exact"/>
        <w:ind w:firstLine="640" w:firstLineChars="200"/>
        <w:jc w:val="center"/>
        <w:rPr>
          <w:rFonts w:ascii="黑体" w:hAnsi="黑体" w:eastAsia="黑体"/>
          <w:color w:val="363636"/>
          <w:kern w:val="0"/>
          <w:sz w:val="32"/>
          <w:szCs w:val="32"/>
        </w:rPr>
      </w:pPr>
    </w:p>
    <w:p>
      <w:pPr>
        <w:widowControl/>
        <w:spacing w:line="580" w:lineRule="exact"/>
        <w:ind w:firstLine="640" w:firstLineChars="200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363636"/>
          <w:kern w:val="0"/>
          <w:sz w:val="32"/>
          <w:szCs w:val="32"/>
        </w:rPr>
        <w:t>一、部门</w:t>
      </w: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职责及机构设置情况</w:t>
      </w:r>
    </w:p>
    <w:p>
      <w:pPr>
        <w:widowControl/>
        <w:spacing w:line="580" w:lineRule="exact"/>
        <w:ind w:firstLine="643" w:firstLineChars="200"/>
        <w:jc w:val="left"/>
        <w:rPr>
          <w:rFonts w:ascii="楷体" w:hAnsi="楷体" w:eastAsia="楷体"/>
          <w:b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/>
          <w:b/>
          <w:color w:val="000000"/>
          <w:kern w:val="0"/>
          <w:sz w:val="32"/>
          <w:szCs w:val="32"/>
        </w:rPr>
        <w:t>部门职责：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仿宋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1.政协成安县委员会认真执行《中国人民政治协商会议章程》主要职能：政治协商、民主监督，组织各党派、团体和社会各界人士参政议政，巩固和发展我县爱国统一战线，推进社会主义民主政治建设，坚持为改革开放，经济建设和精神文明建设服务，促进我县重大决策的民主化、科学化。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仿宋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2.组织委员和有关人员进行视察、调查、参观、咨询，就我县大政方针实施、重要人事安排及群众生活中的重大问题，向县委、县政府</w:t>
      </w:r>
      <w:bookmarkStart w:id="0" w:name="_GoBack"/>
      <w:bookmarkEnd w:id="0"/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和其他有关机关、部门提出意见和建议，进行政治协商、参政议政。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仿宋" w:eastAsia="仿宋_GB2312"/>
          <w:color w:val="000000"/>
          <w:spacing w:val="-6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3.坚持以经济建设为中心，动员委员和社会各界人士为改革开放、经济发展多办实事。向县委、县政府机关及其工作人员通过建议和批评，实行民主监督，协助其改革工作，提高工作效率，克服官僚主义，加强廉政建设</w:t>
      </w:r>
      <w:r>
        <w:rPr>
          <w:rFonts w:hint="eastAsia" w:ascii="仿宋_GB2312" w:hAnsi="仿宋" w:eastAsia="仿宋_GB2312"/>
          <w:color w:val="000000"/>
          <w:spacing w:val="-6"/>
          <w:kern w:val="0"/>
          <w:sz w:val="32"/>
          <w:szCs w:val="32"/>
        </w:rPr>
        <w:t>。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仿宋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4.发挥政协的独特优势和作用，高举爱国主义和社会主义两面旗帜，团结各界人士，为维护政治安定、社会稳定服务。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仿宋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5.积极宣传贯彻国家宪法、法律和各项方针政策，特别是关于祖国统一的方针、政策，推进社会力量积极参与两个文明建设，积极开展同台胞和社会各界的联系，促进祖国统一大业的实现。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仿宋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6.组织委员和有关方面提出提案，并协助有关机关、部门做好提案的交办、办理和答复工作。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仿宋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7．组织委员学政治、学业务、学科技，提高参政议政水平。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仿宋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8.根据县情特点，进行关于近代、现代文史资料的征集、研究、出版工作。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仿宋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9.组织驻成市政协委员开展各项活动，做好驻成市政协委员的联系工作。</w:t>
      </w:r>
    </w:p>
    <w:p>
      <w:pPr>
        <w:widowControl/>
        <w:spacing w:line="360" w:lineRule="auto"/>
        <w:ind w:firstLine="627" w:firstLineChars="196"/>
        <w:jc w:val="left"/>
        <w:rPr>
          <w:rFonts w:ascii="仿宋_GB2312" w:hAnsi="仿宋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10.负责其他应有政协承办的事项。</w:t>
      </w:r>
    </w:p>
    <w:p>
      <w:pPr>
        <w:widowControl/>
        <w:spacing w:line="360" w:lineRule="auto"/>
        <w:ind w:firstLine="630" w:firstLineChars="196"/>
        <w:jc w:val="left"/>
        <w:rPr>
          <w:rFonts w:ascii="楷体" w:hAnsi="楷体" w:eastAsia="楷体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bCs/>
          <w:kern w:val="0"/>
          <w:sz w:val="32"/>
          <w:szCs w:val="32"/>
        </w:rPr>
        <w:t>人员编制和领导职数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" w:eastAsia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人员编制17名，其中领导职数5个。</w:t>
      </w:r>
    </w:p>
    <w:p>
      <w:pPr>
        <w:widowControl/>
        <w:spacing w:line="360" w:lineRule="auto"/>
        <w:ind w:firstLine="630" w:firstLineChars="196"/>
        <w:jc w:val="left"/>
        <w:rPr>
          <w:rFonts w:ascii="楷体" w:hAnsi="楷体" w:eastAsia="楷体" w:cs="宋体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bCs/>
          <w:kern w:val="0"/>
          <w:sz w:val="32"/>
          <w:szCs w:val="32"/>
        </w:rPr>
        <w:t>机构设置：</w:t>
      </w:r>
    </w:p>
    <w:p>
      <w:pPr>
        <w:spacing w:line="580" w:lineRule="exact"/>
        <w:jc w:val="center"/>
        <w:outlineLvl w:val="0"/>
        <w:rPr>
          <w:rFonts w:ascii="方正小标宋_GBK" w:hAnsi="方正小标宋_GBK"/>
          <w:sz w:val="32"/>
          <w:szCs w:val="32"/>
        </w:rPr>
      </w:pPr>
      <w:r>
        <w:rPr>
          <w:rFonts w:ascii="方正小标宋_GBK" w:hAnsi="方正小标宋_GBK"/>
          <w:sz w:val="32"/>
          <w:szCs w:val="32"/>
        </w:rPr>
        <w:t>部门</w:t>
      </w:r>
      <w:r>
        <w:rPr>
          <w:rFonts w:hint="eastAsia" w:ascii="方正小标宋_GBK" w:hAnsi="方正小标宋_GBK"/>
          <w:sz w:val="32"/>
          <w:szCs w:val="32"/>
        </w:rPr>
        <w:t>机构设置情况</w:t>
      </w:r>
    </w:p>
    <w:tbl>
      <w:tblPr>
        <w:tblStyle w:val="6"/>
        <w:tblW w:w="859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7"/>
        <w:gridCol w:w="1134"/>
        <w:gridCol w:w="1276"/>
        <w:gridCol w:w="23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382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方正书宋_GBK" w:hAnsi="方正书宋_GBK"/>
                <w:b/>
                <w:bCs/>
              </w:rPr>
            </w:pPr>
            <w:r>
              <w:rPr>
                <w:rFonts w:ascii="方正书宋_GBK" w:hAnsi="方正书宋_GBK"/>
                <w:b/>
                <w:bCs/>
              </w:rPr>
              <w:t>单位名称</w:t>
            </w:r>
          </w:p>
        </w:tc>
        <w:tc>
          <w:tcPr>
            <w:tcW w:w="1134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方正书宋_GBK" w:hAnsi="方正书宋_GBK"/>
                <w:b/>
                <w:bCs/>
              </w:rPr>
            </w:pPr>
            <w:r>
              <w:rPr>
                <w:rFonts w:ascii="方正书宋_GBK" w:hAnsi="方正书宋_GBK"/>
                <w:b/>
                <w:bCs/>
              </w:rPr>
              <w:t>单位性质</w:t>
            </w:r>
          </w:p>
        </w:tc>
        <w:tc>
          <w:tcPr>
            <w:tcW w:w="1276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方正书宋_GBK" w:hAnsi="方正书宋_GBK"/>
                <w:b/>
                <w:bCs/>
              </w:rPr>
            </w:pPr>
            <w:r>
              <w:rPr>
                <w:rFonts w:ascii="方正书宋_GBK" w:hAnsi="方正书宋_GBK"/>
                <w:b/>
                <w:bCs/>
              </w:rPr>
              <w:t>单位规格</w:t>
            </w:r>
          </w:p>
        </w:tc>
        <w:tc>
          <w:tcPr>
            <w:tcW w:w="2353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方正书宋_GBK" w:hAnsi="方正书宋_GBK"/>
                <w:b/>
                <w:bCs/>
              </w:rPr>
            </w:pPr>
            <w:r>
              <w:rPr>
                <w:rFonts w:ascii="方正书宋_GBK" w:hAnsi="方正书宋_GBK"/>
                <w:b/>
                <w:bCs/>
              </w:rPr>
              <w:t>经费保障形式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382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方正书宋_GBK" w:hAnsi="方正书宋_GBK"/>
                <w:b/>
                <w:bCs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方正书宋_GBK" w:hAnsi="方正书宋_GBK"/>
                <w:b/>
                <w:bCs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方正书宋_GBK" w:hAnsi="方正书宋_GBK"/>
                <w:b/>
                <w:bCs/>
              </w:rPr>
            </w:pPr>
          </w:p>
        </w:tc>
        <w:tc>
          <w:tcPr>
            <w:tcW w:w="2353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方正书宋_GBK" w:hAnsi="方正书宋_GBK"/>
                <w:b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80" w:lineRule="exact"/>
              <w:jc w:val="left"/>
              <w:rPr>
                <w:rFonts w:ascii="方正书宋_GBK" w:hAnsi="方正书宋_GBK"/>
              </w:rPr>
            </w:pPr>
            <w:r>
              <w:rPr>
                <w:rFonts w:hint="eastAsia" w:ascii="方正书宋_GBK" w:hAnsi="方正书宋_GBK"/>
              </w:rPr>
              <w:t>政协成安县委员会办公室</w:t>
            </w:r>
          </w:p>
        </w:tc>
        <w:tc>
          <w:tcPr>
            <w:tcW w:w="113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方正书宋_GBK" w:hAnsi="方正书宋_GBK"/>
              </w:rPr>
            </w:pPr>
            <w:r>
              <w:rPr>
                <w:rFonts w:ascii="方正书宋_GBK" w:hAnsi="方正书宋_GBK"/>
              </w:rPr>
              <w:t>行政</w:t>
            </w:r>
          </w:p>
        </w:tc>
        <w:tc>
          <w:tcPr>
            <w:tcW w:w="127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方正书宋_GBK" w:hAnsi="方正书宋_GBK"/>
              </w:rPr>
            </w:pPr>
            <w:r>
              <w:rPr>
                <w:rFonts w:ascii="方正书宋_GBK" w:hAnsi="方正书宋_GBK"/>
              </w:rPr>
              <w:t>正科级</w:t>
            </w:r>
          </w:p>
        </w:tc>
        <w:tc>
          <w:tcPr>
            <w:tcW w:w="235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方正书宋_GBK" w:hAnsi="方正书宋_GBK"/>
              </w:rPr>
            </w:pPr>
            <w:r>
              <w:rPr>
                <w:rFonts w:ascii="方正书宋_GBK" w:hAnsi="方正书宋_GBK"/>
              </w:rPr>
              <w:t>财政拨款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80" w:lineRule="exact"/>
              <w:jc w:val="left"/>
              <w:rPr>
                <w:rFonts w:ascii="方正书宋_GBK" w:hAnsi="方正书宋_GBK"/>
              </w:rPr>
            </w:pPr>
            <w:r>
              <w:rPr>
                <w:rFonts w:hint="eastAsia" w:ascii="方正书宋_GBK" w:hAnsi="方正书宋_GBK"/>
              </w:rPr>
              <w:t>提案委员会</w:t>
            </w:r>
          </w:p>
        </w:tc>
        <w:tc>
          <w:tcPr>
            <w:tcW w:w="113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方正书宋_GBK" w:hAnsi="方正书宋_GBK"/>
              </w:rPr>
            </w:pPr>
            <w:r>
              <w:rPr>
                <w:rFonts w:hint="eastAsia" w:ascii="方正书宋_GBK" w:hAnsi="方正书宋_GBK"/>
              </w:rPr>
              <w:t>行政</w:t>
            </w:r>
          </w:p>
        </w:tc>
        <w:tc>
          <w:tcPr>
            <w:tcW w:w="127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方正书宋_GBK" w:hAnsi="方正书宋_GBK"/>
              </w:rPr>
            </w:pPr>
            <w:r>
              <w:rPr>
                <w:rFonts w:hint="eastAsia" w:ascii="方正书宋_GBK" w:hAnsi="方正书宋_GBK"/>
              </w:rPr>
              <w:t>正科级</w:t>
            </w:r>
          </w:p>
        </w:tc>
        <w:tc>
          <w:tcPr>
            <w:tcW w:w="235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方正书宋_GBK" w:hAnsi="方正书宋_GBK"/>
              </w:rPr>
            </w:pPr>
            <w:r>
              <w:rPr>
                <w:rFonts w:hint="eastAsia" w:ascii="方正书宋_GBK" w:hAnsi="方正书宋_GBK"/>
              </w:rPr>
              <w:t>财政拨款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80" w:lineRule="exact"/>
              <w:jc w:val="left"/>
              <w:rPr>
                <w:rFonts w:ascii="方正书宋_GBK" w:hAnsi="方正书宋_GBK"/>
              </w:rPr>
            </w:pPr>
            <w:r>
              <w:rPr>
                <w:rFonts w:hint="eastAsia" w:ascii="方正书宋_GBK" w:hAnsi="方正书宋_GBK"/>
              </w:rPr>
              <w:t>学习宣传委员会</w:t>
            </w:r>
          </w:p>
        </w:tc>
        <w:tc>
          <w:tcPr>
            <w:tcW w:w="113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方正书宋_GBK" w:hAnsi="方正书宋_GBK"/>
              </w:rPr>
            </w:pPr>
            <w:r>
              <w:rPr>
                <w:rFonts w:hint="eastAsia" w:ascii="方正书宋_GBK" w:hAnsi="方正书宋_GBK"/>
              </w:rPr>
              <w:t>行政</w:t>
            </w:r>
          </w:p>
        </w:tc>
        <w:tc>
          <w:tcPr>
            <w:tcW w:w="127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方正书宋_GBK" w:hAnsi="方正书宋_GBK"/>
              </w:rPr>
            </w:pPr>
            <w:r>
              <w:rPr>
                <w:rFonts w:hint="eastAsia" w:ascii="方正书宋_GBK" w:hAnsi="方正书宋_GBK"/>
              </w:rPr>
              <w:t>正科级</w:t>
            </w:r>
          </w:p>
        </w:tc>
        <w:tc>
          <w:tcPr>
            <w:tcW w:w="235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方正书宋_GBK" w:hAnsi="方正书宋_GBK"/>
              </w:rPr>
            </w:pPr>
            <w:r>
              <w:rPr>
                <w:rFonts w:hint="eastAsia" w:ascii="方正书宋_GBK" w:hAnsi="方正书宋_GBK"/>
              </w:rPr>
              <w:t>财政拨款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80" w:lineRule="exact"/>
              <w:jc w:val="left"/>
              <w:rPr>
                <w:rFonts w:ascii="方正书宋_GBK" w:hAnsi="方正书宋_GBK"/>
              </w:rPr>
            </w:pPr>
            <w:r>
              <w:rPr>
                <w:rFonts w:hint="eastAsia" w:ascii="方正书宋_GBK" w:hAnsi="方正书宋_GBK"/>
              </w:rPr>
              <w:t>提案委员会</w:t>
            </w:r>
          </w:p>
        </w:tc>
        <w:tc>
          <w:tcPr>
            <w:tcW w:w="113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方正书宋_GBK" w:hAnsi="方正书宋_GBK"/>
              </w:rPr>
            </w:pPr>
            <w:r>
              <w:rPr>
                <w:rFonts w:hint="eastAsia" w:ascii="方正书宋_GBK" w:hAnsi="方正书宋_GBK"/>
              </w:rPr>
              <w:t>行政</w:t>
            </w:r>
          </w:p>
        </w:tc>
        <w:tc>
          <w:tcPr>
            <w:tcW w:w="127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方正书宋_GBK" w:hAnsi="方正书宋_GBK"/>
              </w:rPr>
            </w:pPr>
            <w:r>
              <w:rPr>
                <w:rFonts w:hint="eastAsia" w:ascii="方正书宋_GBK" w:hAnsi="方正书宋_GBK"/>
              </w:rPr>
              <w:t>正科级</w:t>
            </w:r>
          </w:p>
        </w:tc>
        <w:tc>
          <w:tcPr>
            <w:tcW w:w="235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方正书宋_GBK" w:hAnsi="方正书宋_GBK"/>
              </w:rPr>
            </w:pPr>
            <w:r>
              <w:rPr>
                <w:rFonts w:hint="eastAsia" w:ascii="方正书宋_GBK" w:hAnsi="方正书宋_GBK"/>
              </w:rPr>
              <w:t>财政拨款</w:t>
            </w:r>
          </w:p>
        </w:tc>
      </w:tr>
    </w:tbl>
    <w:p>
      <w:pPr>
        <w:widowControl/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二、部门预算安排的总体情况</w:t>
      </w:r>
    </w:p>
    <w:p>
      <w:pPr>
        <w:widowControl/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2018年部门收入预算总额为242.17万元，部门支出预算总额为242.17万元（其中人员经费194.98万元，日常公用经费47.19万元）。</w:t>
      </w:r>
    </w:p>
    <w:p>
      <w:pPr>
        <w:widowControl/>
        <w:spacing w:line="580" w:lineRule="exact"/>
        <w:ind w:firstLine="643" w:firstLineChars="2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1、收入说明</w:t>
      </w:r>
    </w:p>
    <w:p>
      <w:pPr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</w:t>
      </w:r>
      <w:r>
        <w:rPr>
          <w:rFonts w:hint="eastAsia" w:ascii="仿宋" w:hAnsi="仿宋" w:eastAsia="仿宋"/>
          <w:sz w:val="32"/>
          <w:szCs w:val="32"/>
        </w:rPr>
        <w:t>8</w:t>
      </w:r>
      <w:r>
        <w:rPr>
          <w:rFonts w:hint="eastAsia" w:ascii="仿宋" w:hAnsi="仿宋" w:eastAsia="仿宋" w:cs="方正仿宋_GBK"/>
          <w:sz w:val="32"/>
          <w:szCs w:val="32"/>
        </w:rPr>
        <w:t>年预算收入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242.17</w:t>
      </w:r>
      <w:r>
        <w:rPr>
          <w:rFonts w:hint="eastAsia" w:ascii="仿宋" w:hAnsi="仿宋" w:eastAsia="仿宋" w:cs="方正仿宋_GBK"/>
          <w:sz w:val="32"/>
          <w:szCs w:val="32"/>
        </w:rPr>
        <w:t>万元，其中：一般公共预算收入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242.17</w:t>
      </w:r>
      <w:r>
        <w:rPr>
          <w:rFonts w:hint="eastAsia" w:ascii="仿宋" w:hAnsi="仿宋" w:eastAsia="仿宋" w:cs="方正仿宋_GBK"/>
          <w:sz w:val="32"/>
          <w:szCs w:val="32"/>
        </w:rPr>
        <w:t>万元，政府性基金收入0万元，国有资本经营收入0万元，事业收入0万元，其他收入0万元。</w:t>
      </w:r>
    </w:p>
    <w:p>
      <w:pPr>
        <w:widowControl/>
        <w:spacing w:line="580" w:lineRule="exact"/>
        <w:ind w:firstLine="643" w:firstLineChars="2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2、支出说明</w:t>
      </w:r>
    </w:p>
    <w:p>
      <w:pPr>
        <w:widowControl/>
        <w:spacing w:line="580" w:lineRule="exact"/>
        <w:ind w:firstLine="640" w:firstLineChars="2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2018年支出预算242.17万元，其中人员经费支出194.98万元，日常公用经费支出47.19万元。</w:t>
      </w:r>
    </w:p>
    <w:p>
      <w:pPr>
        <w:widowControl/>
        <w:spacing w:line="580" w:lineRule="exact"/>
        <w:ind w:firstLine="643" w:firstLineChars="2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3、比去年增减变化情况</w:t>
      </w:r>
    </w:p>
    <w:p>
      <w:pPr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</w:t>
      </w:r>
      <w:r>
        <w:rPr>
          <w:rFonts w:hint="eastAsia" w:ascii="仿宋" w:hAnsi="仿宋" w:eastAsia="仿宋"/>
          <w:sz w:val="32"/>
          <w:szCs w:val="32"/>
        </w:rPr>
        <w:t>8</w:t>
      </w:r>
      <w:r>
        <w:rPr>
          <w:rFonts w:hint="eastAsia" w:ascii="仿宋" w:hAnsi="仿宋" w:eastAsia="仿宋" w:cs="方正仿宋_GBK"/>
          <w:sz w:val="32"/>
          <w:szCs w:val="32"/>
        </w:rPr>
        <w:t>年预算收支安排242.17万元，</w:t>
      </w:r>
      <w:r>
        <w:rPr>
          <w:rFonts w:ascii="仿宋" w:hAnsi="仿宋" w:eastAsia="仿宋" w:cs="仿宋_GB2312"/>
          <w:kern w:val="0"/>
          <w:sz w:val="32"/>
          <w:szCs w:val="32"/>
        </w:rPr>
        <w:t>201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7</w:t>
      </w:r>
      <w:r>
        <w:rPr>
          <w:rFonts w:ascii="仿宋" w:hAnsi="仿宋" w:eastAsia="仿宋" w:cs="仿宋_GB2312"/>
          <w:kern w:val="0"/>
          <w:sz w:val="32"/>
          <w:szCs w:val="32"/>
        </w:rPr>
        <w:t>年财政拨款收入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270.08</w:t>
      </w:r>
      <w:r>
        <w:rPr>
          <w:rFonts w:ascii="仿宋" w:hAnsi="仿宋" w:eastAsia="仿宋" w:cs="仿宋_GB2312"/>
          <w:kern w:val="0"/>
          <w:sz w:val="32"/>
          <w:szCs w:val="32"/>
        </w:rPr>
        <w:t>万元，总支出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270.08</w:t>
      </w:r>
      <w:r>
        <w:rPr>
          <w:rFonts w:ascii="仿宋" w:hAnsi="仿宋" w:eastAsia="仿宋" w:cs="仿宋_GB2312"/>
          <w:kern w:val="0"/>
          <w:sz w:val="32"/>
          <w:szCs w:val="32"/>
        </w:rPr>
        <w:t>万元。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与去年相比降低了27.91万元，积极贯彻落实新《预算法》，按照讲求绩效的原则，对于当年未使用的预算，在调整预算中予以调减。</w:t>
      </w:r>
    </w:p>
    <w:p>
      <w:pPr>
        <w:widowControl/>
        <w:spacing w:line="58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三、机关运行经费安排情况</w:t>
      </w:r>
    </w:p>
    <w:p>
      <w:pPr>
        <w:widowControl/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日常公用经费支出总计47.19万元，主要用于日常维修、邮电费、公务用车运行维护费、其他交通费等日常运行支出。</w:t>
      </w:r>
    </w:p>
    <w:p>
      <w:pPr>
        <w:widowControl/>
        <w:spacing w:line="58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四、财政拨款</w:t>
      </w:r>
      <w:r>
        <w:rPr>
          <w:rFonts w:ascii="黑体" w:hAnsi="黑体" w:eastAsia="黑体"/>
          <w:b/>
          <w:sz w:val="32"/>
          <w:szCs w:val="32"/>
        </w:rPr>
        <w:t>“三公”经费</w:t>
      </w:r>
      <w:r>
        <w:rPr>
          <w:rFonts w:hint="eastAsia" w:ascii="黑体" w:hAnsi="黑体" w:eastAsia="黑体"/>
          <w:b/>
          <w:sz w:val="32"/>
          <w:szCs w:val="32"/>
        </w:rPr>
        <w:t>预算情况及增减变化原因</w:t>
      </w:r>
    </w:p>
    <w:p>
      <w:pPr>
        <w:widowControl/>
        <w:snapToGrid w:val="0"/>
        <w:spacing w:line="580" w:lineRule="exact"/>
        <w:ind w:firstLine="640" w:firstLineChars="200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2018年度“三公”预算支出21.19万元，其中，因公出国（境）费0元，安排公务用车维护费21.19万元，（其中公务用车购置费0万元，公务用车运行维护费21.19万元），公务接等费0万元，2018年“三公”经费预算减少了15%，单位严格按照中央八项规定厉行节约，对三公预算经费支出计划进行了压缩。</w:t>
      </w:r>
    </w:p>
    <w:p>
      <w:pPr>
        <w:widowControl/>
        <w:snapToGrid w:val="0"/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五、绩效预算信息</w:t>
      </w:r>
    </w:p>
    <w:p>
      <w:pPr>
        <w:spacing w:line="560" w:lineRule="exact"/>
        <w:ind w:firstLine="643" w:firstLineChars="200"/>
        <w:jc w:val="left"/>
        <w:rPr>
          <w:rFonts w:eastAsia="方正仿宋_GBK"/>
          <w:b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总体绩效目标：</w:t>
      </w:r>
    </w:p>
    <w:p>
      <w:pPr>
        <w:widowControl/>
        <w:shd w:val="clear" w:color="auto" w:fill="FFFFFF"/>
        <w:spacing w:line="315" w:lineRule="atLeast"/>
        <w:ind w:firstLine="630"/>
        <w:jc w:val="left"/>
        <w:rPr>
          <w:rFonts w:ascii="瀹嬩綋" w:hAnsi="宋体" w:eastAsia="瀹嬩綋" w:cs="宋体"/>
          <w:color w:val="000000"/>
          <w:kern w:val="0"/>
          <w:sz w:val="30"/>
          <w:szCs w:val="30"/>
        </w:rPr>
      </w:pPr>
      <w:r>
        <w:rPr>
          <w:rFonts w:hint="eastAsia" w:ascii="瀹嬩綋" w:hAnsi="宋体" w:eastAsia="瀹嬩綋" w:cs="宋体"/>
          <w:color w:val="000000"/>
          <w:kern w:val="0"/>
          <w:sz w:val="30"/>
          <w:szCs w:val="30"/>
        </w:rPr>
        <w:t>完善各项会议制度，规范会议程序，提高会议质量，提高政治协商水平。完善民主监督机制，畅通民主监督渠道，建立健全知情、沟通制度，将民主监督寓于委员提案、进行视察、参与工作检查等活动中，提高民主监督质量和成效。完善提案审查、办理和反馈机制，做到提案程序更加规范，制度更加完善，提案质量和办理质量不断提高，政协履职作用更加突出。</w:t>
      </w:r>
    </w:p>
    <w:p>
      <w:pPr>
        <w:widowControl/>
        <w:shd w:val="clear" w:color="auto" w:fill="FFFFFF"/>
        <w:spacing w:line="315" w:lineRule="atLeast"/>
        <w:ind w:firstLine="630"/>
        <w:jc w:val="left"/>
        <w:rPr>
          <w:rFonts w:hint="eastAsia" w:ascii="瀹嬩綋" w:hAnsi="宋体" w:eastAsia="瀹嬩綋" w:cs="宋体"/>
          <w:color w:val="000000"/>
          <w:kern w:val="0"/>
          <w:sz w:val="30"/>
          <w:szCs w:val="30"/>
        </w:rPr>
      </w:pPr>
      <w:r>
        <w:rPr>
          <w:rFonts w:hint="eastAsia" w:ascii="瀹嬩綋" w:hAnsi="宋体" w:eastAsia="瀹嬩綋" w:cs="宋体"/>
          <w:color w:val="000000"/>
          <w:kern w:val="0"/>
          <w:sz w:val="30"/>
          <w:szCs w:val="30"/>
        </w:rPr>
        <w:t>发挥政协作为扩大社会各界有序参与的重要渠道作用，探索开展活动的新方法淅途径，充分调动委员参政议政积极，向县委、县政府提出高质量的建议案。</w:t>
      </w:r>
    </w:p>
    <w:p>
      <w:pPr>
        <w:widowControl/>
        <w:shd w:val="clear" w:color="auto" w:fill="FFFFFF"/>
        <w:spacing w:line="315" w:lineRule="atLeast"/>
        <w:ind w:firstLine="630"/>
        <w:jc w:val="left"/>
        <w:rPr>
          <w:rFonts w:ascii="瀹嬩綋" w:hAnsi="宋体" w:eastAsia="瀹嬩綋" w:cs="宋体"/>
          <w:color w:val="000000"/>
          <w:kern w:val="0"/>
          <w:sz w:val="30"/>
          <w:szCs w:val="30"/>
        </w:rPr>
      </w:pPr>
      <w:r>
        <w:rPr>
          <w:rFonts w:hint="eastAsia" w:ascii="瀹嬩綋" w:hAnsi="宋体" w:eastAsia="瀹嬩綋" w:cs="宋体"/>
          <w:color w:val="000000"/>
          <w:kern w:val="0"/>
          <w:sz w:val="30"/>
          <w:szCs w:val="30"/>
        </w:rPr>
        <w:t>机关自身建设、服务保障能力进一步提升。政协自身建设质量更加扎实，工作科学化水平进一步提升。文史资料的社会功能增强，理论研究成果服务履职作用明显。机关基本设施设备正常运转、信息化保障、老干部服务保障能力进一步提高。</w:t>
      </w:r>
    </w:p>
    <w:p>
      <w:pPr>
        <w:widowControl/>
        <w:snapToGrid w:val="0"/>
        <w:spacing w:line="580" w:lineRule="exact"/>
        <w:jc w:val="center"/>
        <w:rPr>
          <w:rFonts w:hint="eastAsia" w:ascii="楷体_GB2312" w:hAnsi="黑体" w:eastAsia="楷体_GB2312"/>
          <w:b/>
          <w:sz w:val="32"/>
          <w:szCs w:val="32"/>
        </w:rPr>
      </w:pPr>
    </w:p>
    <w:p>
      <w:pPr>
        <w:widowControl/>
        <w:snapToGrid w:val="0"/>
        <w:spacing w:line="580" w:lineRule="exact"/>
        <w:jc w:val="center"/>
        <w:rPr>
          <w:rFonts w:hint="eastAsia" w:ascii="楷体_GB2312" w:hAnsi="黑体" w:eastAsia="楷体_GB2312"/>
          <w:b/>
          <w:sz w:val="32"/>
          <w:szCs w:val="32"/>
        </w:rPr>
      </w:pPr>
    </w:p>
    <w:p>
      <w:pPr>
        <w:widowControl/>
        <w:snapToGrid w:val="0"/>
        <w:spacing w:line="580" w:lineRule="exact"/>
        <w:jc w:val="center"/>
        <w:rPr>
          <w:rFonts w:hint="eastAsia" w:ascii="方正书宋_GBK" w:eastAsia="方正书宋_GBK"/>
          <w:sz w:val="24"/>
        </w:rPr>
      </w:pPr>
      <w:r>
        <w:rPr>
          <w:rFonts w:hint="eastAsia" w:ascii="楷体_GB2312" w:hAnsi="黑体" w:eastAsia="楷体_GB2312"/>
          <w:b/>
          <w:sz w:val="32"/>
          <w:szCs w:val="32"/>
        </w:rPr>
        <w:t>部门职责及工作活动绩效目标指标：</w:t>
      </w:r>
    </w:p>
    <w:p>
      <w:pPr>
        <w:widowControl/>
        <w:snapToGrid w:val="0"/>
        <w:spacing w:line="580" w:lineRule="exact"/>
        <w:ind w:left="5678" w:leftChars="304" w:hanging="5040" w:hangingChars="2100"/>
        <w:rPr>
          <w:rFonts w:ascii="仿宋" w:hAnsi="仿宋" w:eastAsia="仿宋"/>
          <w:sz w:val="24"/>
          <w:szCs w:val="24"/>
        </w:rPr>
      </w:pPr>
      <w:r>
        <w:rPr>
          <w:rFonts w:hint="eastAsia" w:ascii="方正书宋_GBK" w:eastAsia="方正书宋_GBK"/>
          <w:sz w:val="24"/>
        </w:rPr>
        <w:t>单位：元</w:t>
      </w:r>
    </w:p>
    <w:tbl>
      <w:tblPr>
        <w:tblStyle w:val="6"/>
        <w:tblW w:w="862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854"/>
        <w:gridCol w:w="1879"/>
        <w:gridCol w:w="1880"/>
        <w:gridCol w:w="768"/>
        <w:gridCol w:w="703"/>
        <w:gridCol w:w="456"/>
        <w:gridCol w:w="457"/>
        <w:gridCol w:w="4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tblHeader/>
          <w:jc w:val="center"/>
        </w:trPr>
        <w:tc>
          <w:tcPr>
            <w:tcW w:w="1168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职责活动</w:t>
            </w:r>
          </w:p>
        </w:tc>
        <w:tc>
          <w:tcPr>
            <w:tcW w:w="854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年度预算数</w:t>
            </w:r>
          </w:p>
        </w:tc>
        <w:tc>
          <w:tcPr>
            <w:tcW w:w="1879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内容描述</w:t>
            </w:r>
          </w:p>
        </w:tc>
        <w:tc>
          <w:tcPr>
            <w:tcW w:w="1880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768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绩效指标</w:t>
            </w:r>
          </w:p>
        </w:tc>
        <w:tc>
          <w:tcPr>
            <w:tcW w:w="2071" w:type="dxa"/>
            <w:gridSpan w:val="4"/>
            <w:vAlign w:val="center"/>
          </w:tcPr>
          <w:p>
            <w:pPr>
              <w:spacing w:line="58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评价标准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1168" w:type="dxa"/>
            <w:vMerge w:val="continue"/>
            <w:vAlign w:val="center"/>
          </w:tcPr>
          <w:p>
            <w:pPr>
              <w:spacing w:line="580" w:lineRule="exact"/>
              <w:jc w:val="left"/>
              <w:outlineLvl w:val="0"/>
            </w:pPr>
          </w:p>
        </w:tc>
        <w:tc>
          <w:tcPr>
            <w:tcW w:w="854" w:type="dxa"/>
            <w:vMerge w:val="continue"/>
            <w:vAlign w:val="center"/>
          </w:tcPr>
          <w:p>
            <w:pPr>
              <w:spacing w:line="580" w:lineRule="exact"/>
              <w:jc w:val="left"/>
              <w:outlineLvl w:val="0"/>
            </w:pPr>
          </w:p>
        </w:tc>
        <w:tc>
          <w:tcPr>
            <w:tcW w:w="1879" w:type="dxa"/>
            <w:vMerge w:val="continue"/>
            <w:vAlign w:val="center"/>
          </w:tcPr>
          <w:p>
            <w:pPr>
              <w:spacing w:line="580" w:lineRule="exact"/>
              <w:jc w:val="left"/>
              <w:outlineLvl w:val="0"/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spacing w:line="580" w:lineRule="exact"/>
              <w:jc w:val="left"/>
              <w:outlineLvl w:val="0"/>
            </w:pPr>
          </w:p>
        </w:tc>
        <w:tc>
          <w:tcPr>
            <w:tcW w:w="768" w:type="dxa"/>
            <w:vMerge w:val="continue"/>
            <w:vAlign w:val="center"/>
          </w:tcPr>
          <w:p>
            <w:pPr>
              <w:spacing w:line="580" w:lineRule="exact"/>
              <w:jc w:val="left"/>
              <w:outlineLvl w:val="0"/>
            </w:pPr>
          </w:p>
        </w:tc>
        <w:tc>
          <w:tcPr>
            <w:tcW w:w="703" w:type="dxa"/>
            <w:vAlign w:val="center"/>
          </w:tcPr>
          <w:p>
            <w:pPr>
              <w:spacing w:line="58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优</w:t>
            </w:r>
          </w:p>
        </w:tc>
        <w:tc>
          <w:tcPr>
            <w:tcW w:w="456" w:type="dxa"/>
            <w:vAlign w:val="center"/>
          </w:tcPr>
          <w:p>
            <w:pPr>
              <w:spacing w:line="58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良</w:t>
            </w:r>
          </w:p>
        </w:tc>
        <w:tc>
          <w:tcPr>
            <w:tcW w:w="457" w:type="dxa"/>
            <w:vAlign w:val="center"/>
          </w:tcPr>
          <w:p>
            <w:pPr>
              <w:spacing w:line="58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中</w:t>
            </w:r>
          </w:p>
        </w:tc>
        <w:tc>
          <w:tcPr>
            <w:tcW w:w="455" w:type="dxa"/>
            <w:vAlign w:val="center"/>
          </w:tcPr>
          <w:p>
            <w:pPr>
              <w:spacing w:line="58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5" w:hRule="atLeast"/>
          <w:jc w:val="center"/>
        </w:trPr>
        <w:tc>
          <w:tcPr>
            <w:tcW w:w="1168" w:type="dxa"/>
            <w:vAlign w:val="center"/>
          </w:tcPr>
          <w:p>
            <w:pPr>
              <w:spacing w:line="58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综合业务管理</w:t>
            </w:r>
          </w:p>
        </w:tc>
        <w:tc>
          <w:tcPr>
            <w:tcW w:w="854" w:type="dxa"/>
            <w:vAlign w:val="center"/>
          </w:tcPr>
          <w:p>
            <w:pPr>
              <w:spacing w:line="58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879" w:type="dxa"/>
            <w:vAlign w:val="center"/>
          </w:tcPr>
          <w:p>
            <w:pPr>
              <w:spacing w:line="36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保障机关工作任务高质高效；政协办房产、基建、维修、物资分配和其他行政事务工作；县政协领导同志和部分原县级领导同志，以及离退休同志的生活服务和阅文、参加有关活动的事务服务工作。</w:t>
            </w:r>
          </w:p>
        </w:tc>
        <w:tc>
          <w:tcPr>
            <w:tcW w:w="1880" w:type="dxa"/>
            <w:vAlign w:val="center"/>
          </w:tcPr>
          <w:p>
            <w:pPr>
              <w:spacing w:line="36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保障机关工作任务高质高效；政协办公室房产、维修、物资分配和其他行政事务工作；县政协领导同志和部分原县级领导同志，以及离退休同志的生活服务和阅文、参加有关活动的事务服务工作。</w:t>
            </w:r>
          </w:p>
          <w:p>
            <w:pPr>
              <w:spacing w:line="36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68" w:type="dxa"/>
            <w:vAlign w:val="center"/>
          </w:tcPr>
          <w:p>
            <w:pPr>
              <w:spacing w:line="58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综合任务完成数占年度计划的比例</w:t>
            </w:r>
          </w:p>
        </w:tc>
        <w:tc>
          <w:tcPr>
            <w:tcW w:w="703" w:type="dxa"/>
            <w:vAlign w:val="center"/>
          </w:tcPr>
          <w:p>
            <w:pPr>
              <w:spacing w:line="58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456" w:type="dxa"/>
            <w:vAlign w:val="center"/>
          </w:tcPr>
          <w:p>
            <w:pPr>
              <w:spacing w:line="58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457" w:type="dxa"/>
            <w:vAlign w:val="center"/>
          </w:tcPr>
          <w:p>
            <w:pPr>
              <w:spacing w:line="58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80%</w:t>
            </w:r>
          </w:p>
        </w:tc>
        <w:tc>
          <w:tcPr>
            <w:tcW w:w="455" w:type="dxa"/>
            <w:vAlign w:val="center"/>
          </w:tcPr>
          <w:p>
            <w:pPr>
              <w:spacing w:line="58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70%</w:t>
            </w:r>
          </w:p>
        </w:tc>
      </w:tr>
    </w:tbl>
    <w:p>
      <w:pPr>
        <w:widowControl/>
        <w:spacing w:line="580" w:lineRule="exact"/>
        <w:jc w:val="left"/>
        <w:outlineLvl w:val="0"/>
        <w:sectPr>
          <w:footerReference r:id="rId3" w:type="default"/>
          <w:pgSz w:w="11907" w:h="16839"/>
          <w:pgMar w:top="2098" w:right="1474" w:bottom="2098" w:left="1474" w:header="851" w:footer="992" w:gutter="0"/>
          <w:cols w:space="0" w:num="1"/>
          <w:docGrid w:type="lines" w:linePitch="312" w:charSpace="0"/>
        </w:sectPr>
      </w:pPr>
    </w:p>
    <w:p>
      <w:pPr>
        <w:snapToGrid w:val="0"/>
        <w:spacing w:line="580" w:lineRule="exact"/>
        <w:ind w:firstLine="479" w:firstLineChars="149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六、政府采购预算情况</w:t>
      </w:r>
    </w:p>
    <w:p>
      <w:pPr>
        <w:snapToGrid w:val="0"/>
        <w:spacing w:line="580" w:lineRule="exact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2017</w:t>
      </w:r>
      <w:r>
        <w:rPr>
          <w:rFonts w:hint="eastAsia" w:ascii="仿宋" w:hAnsi="仿宋" w:eastAsia="仿宋"/>
          <w:sz w:val="32"/>
          <w:szCs w:val="32"/>
        </w:rPr>
        <w:t>年，我单位安排政府采购预算0万元。具体内容见下表。</w:t>
      </w:r>
    </w:p>
    <w:p>
      <w:pPr>
        <w:spacing w:line="560" w:lineRule="exact"/>
        <w:jc w:val="center"/>
        <w:outlineLvl w:val="0"/>
        <w:rPr>
          <w:rFonts w:ascii="宋体" w:hAnsi="宋体"/>
          <w:sz w:val="32"/>
          <w:szCs w:val="32"/>
        </w:rPr>
      </w:pPr>
      <w:r>
        <w:rPr>
          <w:rFonts w:hint="eastAsia" w:ascii="宋体" w:hAnsi="宋体" w:cs="方正小标宋_GBK"/>
          <w:sz w:val="32"/>
          <w:szCs w:val="32"/>
        </w:rPr>
        <w:t>部门政府采购预算</w:t>
      </w:r>
    </w:p>
    <w:tbl>
      <w:tblPr>
        <w:tblStyle w:val="6"/>
        <w:tblW w:w="906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667"/>
        <w:gridCol w:w="549"/>
        <w:gridCol w:w="873"/>
        <w:gridCol w:w="549"/>
        <w:gridCol w:w="549"/>
        <w:gridCol w:w="564"/>
        <w:gridCol w:w="562"/>
        <w:gridCol w:w="562"/>
        <w:gridCol w:w="562"/>
        <w:gridCol w:w="511"/>
        <w:gridCol w:w="551"/>
        <w:gridCol w:w="551"/>
        <w:gridCol w:w="51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245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方正小标宋_GBK"/>
                <w:sz w:val="24"/>
                <w:szCs w:val="24"/>
              </w:rPr>
              <w:t>部门（单位）名称</w:t>
            </w:r>
          </w:p>
        </w:tc>
        <w:tc>
          <w:tcPr>
            <w:tcW w:w="3815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spacing w:line="560" w:lineRule="exact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方正书宋_GBK"/>
                <w:sz w:val="24"/>
                <w:szCs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16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 w:cs="方正书宋_GBK"/>
                <w:b/>
                <w:bCs/>
              </w:rPr>
              <w:t>政府采购项目来源</w:t>
            </w:r>
          </w:p>
        </w:tc>
        <w:tc>
          <w:tcPr>
            <w:tcW w:w="549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 w:cs="方正书宋_GBK"/>
                <w:b/>
                <w:bCs/>
              </w:rPr>
              <w:t>采购物品名称</w:t>
            </w:r>
          </w:p>
        </w:tc>
        <w:tc>
          <w:tcPr>
            <w:tcW w:w="873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 w:cs="方正书宋_GBK"/>
                <w:b/>
                <w:bCs/>
              </w:rPr>
              <w:t>政府采购目录序号</w:t>
            </w:r>
          </w:p>
        </w:tc>
        <w:tc>
          <w:tcPr>
            <w:tcW w:w="549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 w:cs="方正书宋_GBK"/>
                <w:b/>
                <w:bCs/>
              </w:rPr>
              <w:t>数量单位</w:t>
            </w:r>
          </w:p>
        </w:tc>
        <w:tc>
          <w:tcPr>
            <w:tcW w:w="549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 w:cs="方正书宋_GBK"/>
                <w:b/>
                <w:bCs/>
              </w:rPr>
              <w:t>数量</w:t>
            </w:r>
          </w:p>
        </w:tc>
        <w:tc>
          <w:tcPr>
            <w:tcW w:w="564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 w:cs="方正书宋_GBK"/>
                <w:b/>
                <w:bCs/>
              </w:rPr>
              <w:t>单价</w:t>
            </w:r>
          </w:p>
        </w:tc>
        <w:tc>
          <w:tcPr>
            <w:tcW w:w="3815" w:type="dxa"/>
            <w:gridSpan w:val="7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 w:cs="方正书宋_GBK"/>
                <w:b/>
                <w:bCs/>
              </w:rPr>
              <w:t>政府采购金额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49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 w:cs="方正书宋_GBK"/>
                <w:b/>
                <w:bCs/>
              </w:rPr>
              <w:t>项目名称</w:t>
            </w:r>
          </w:p>
        </w:tc>
        <w:tc>
          <w:tcPr>
            <w:tcW w:w="667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 w:cs="方正书宋_GBK"/>
                <w:b/>
                <w:bCs/>
              </w:rPr>
              <w:t>预算资金</w:t>
            </w:r>
          </w:p>
        </w:tc>
        <w:tc>
          <w:tcPr>
            <w:tcW w:w="549" w:type="dxa"/>
            <w:vMerge w:val="continue"/>
            <w:vAlign w:val="center"/>
          </w:tcPr>
          <w:p>
            <w:pPr>
              <w:spacing w:line="260" w:lineRule="exact"/>
              <w:jc w:val="left"/>
              <w:outlineLvl w:val="0"/>
              <w:rPr>
                <w:rFonts w:ascii="宋体" w:hAnsi="宋体"/>
              </w:rPr>
            </w:pPr>
          </w:p>
        </w:tc>
        <w:tc>
          <w:tcPr>
            <w:tcW w:w="873" w:type="dxa"/>
            <w:vMerge w:val="continue"/>
            <w:vAlign w:val="center"/>
          </w:tcPr>
          <w:p>
            <w:pPr>
              <w:spacing w:line="260" w:lineRule="exact"/>
              <w:jc w:val="left"/>
              <w:outlineLvl w:val="0"/>
              <w:rPr>
                <w:rFonts w:ascii="宋体" w:hAnsi="宋体"/>
              </w:rPr>
            </w:pPr>
          </w:p>
        </w:tc>
        <w:tc>
          <w:tcPr>
            <w:tcW w:w="549" w:type="dxa"/>
            <w:vMerge w:val="continue"/>
            <w:vAlign w:val="center"/>
          </w:tcPr>
          <w:p>
            <w:pPr>
              <w:spacing w:line="260" w:lineRule="exact"/>
              <w:jc w:val="left"/>
              <w:outlineLvl w:val="0"/>
              <w:rPr>
                <w:rFonts w:ascii="宋体" w:hAnsi="宋体"/>
              </w:rPr>
            </w:pPr>
          </w:p>
        </w:tc>
        <w:tc>
          <w:tcPr>
            <w:tcW w:w="549" w:type="dxa"/>
            <w:vMerge w:val="continue"/>
            <w:vAlign w:val="center"/>
          </w:tcPr>
          <w:p>
            <w:pPr>
              <w:spacing w:line="260" w:lineRule="exact"/>
              <w:jc w:val="left"/>
              <w:outlineLvl w:val="0"/>
              <w:rPr>
                <w:rFonts w:ascii="宋体" w:hAnsi="宋体"/>
              </w:rPr>
            </w:pPr>
          </w:p>
        </w:tc>
        <w:tc>
          <w:tcPr>
            <w:tcW w:w="564" w:type="dxa"/>
            <w:vMerge w:val="continue"/>
            <w:vAlign w:val="center"/>
          </w:tcPr>
          <w:p>
            <w:pPr>
              <w:spacing w:line="260" w:lineRule="exact"/>
              <w:jc w:val="left"/>
              <w:outlineLvl w:val="0"/>
              <w:rPr>
                <w:rFonts w:ascii="宋体" w:hAnsi="宋体"/>
              </w:rPr>
            </w:pPr>
          </w:p>
        </w:tc>
        <w:tc>
          <w:tcPr>
            <w:tcW w:w="562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 w:cs="方正书宋_GBK"/>
                <w:b/>
                <w:bCs/>
              </w:rPr>
              <w:t>总计</w:t>
            </w:r>
          </w:p>
        </w:tc>
        <w:tc>
          <w:tcPr>
            <w:tcW w:w="2737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 w:cs="方正书宋_GBK"/>
                <w:b/>
                <w:bCs/>
              </w:rPr>
              <w:t>当年部门预算安排资金</w:t>
            </w:r>
          </w:p>
        </w:tc>
        <w:tc>
          <w:tcPr>
            <w:tcW w:w="51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 w:cs="方正书宋_GBK"/>
                <w:b/>
                <w:bCs/>
              </w:rPr>
              <w:t>其他渠道资金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494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/>
              </w:rPr>
            </w:pPr>
          </w:p>
        </w:tc>
        <w:tc>
          <w:tcPr>
            <w:tcW w:w="549" w:type="dxa"/>
            <w:vMerge w:val="continue"/>
            <w:vAlign w:val="center"/>
          </w:tcPr>
          <w:p>
            <w:pPr>
              <w:spacing w:line="260" w:lineRule="exact"/>
              <w:jc w:val="left"/>
              <w:outlineLvl w:val="0"/>
              <w:rPr>
                <w:rFonts w:ascii="宋体" w:hAnsi="宋体"/>
              </w:rPr>
            </w:pPr>
          </w:p>
        </w:tc>
        <w:tc>
          <w:tcPr>
            <w:tcW w:w="873" w:type="dxa"/>
            <w:vMerge w:val="continue"/>
            <w:vAlign w:val="center"/>
          </w:tcPr>
          <w:p>
            <w:pPr>
              <w:spacing w:line="260" w:lineRule="exact"/>
              <w:jc w:val="left"/>
              <w:outlineLvl w:val="0"/>
              <w:rPr>
                <w:rFonts w:ascii="宋体" w:hAnsi="宋体"/>
              </w:rPr>
            </w:pPr>
          </w:p>
        </w:tc>
        <w:tc>
          <w:tcPr>
            <w:tcW w:w="549" w:type="dxa"/>
            <w:vMerge w:val="continue"/>
            <w:vAlign w:val="center"/>
          </w:tcPr>
          <w:p>
            <w:pPr>
              <w:spacing w:line="260" w:lineRule="exact"/>
              <w:jc w:val="left"/>
              <w:outlineLvl w:val="0"/>
              <w:rPr>
                <w:rFonts w:ascii="宋体" w:hAnsi="宋体"/>
              </w:rPr>
            </w:pPr>
          </w:p>
        </w:tc>
        <w:tc>
          <w:tcPr>
            <w:tcW w:w="549" w:type="dxa"/>
            <w:vMerge w:val="continue"/>
            <w:vAlign w:val="center"/>
          </w:tcPr>
          <w:p>
            <w:pPr>
              <w:spacing w:line="260" w:lineRule="exact"/>
              <w:jc w:val="left"/>
              <w:outlineLvl w:val="0"/>
              <w:rPr>
                <w:rFonts w:ascii="宋体" w:hAnsi="宋体"/>
              </w:rPr>
            </w:pPr>
          </w:p>
        </w:tc>
        <w:tc>
          <w:tcPr>
            <w:tcW w:w="564" w:type="dxa"/>
            <w:vMerge w:val="continue"/>
            <w:vAlign w:val="center"/>
          </w:tcPr>
          <w:p>
            <w:pPr>
              <w:spacing w:line="260" w:lineRule="exact"/>
              <w:jc w:val="left"/>
              <w:outlineLvl w:val="0"/>
              <w:rPr>
                <w:rFonts w:ascii="宋体" w:hAnsi="宋体"/>
              </w:rPr>
            </w:pPr>
          </w:p>
        </w:tc>
        <w:tc>
          <w:tcPr>
            <w:tcW w:w="562" w:type="dxa"/>
            <w:vMerge w:val="continue"/>
            <w:vAlign w:val="center"/>
          </w:tcPr>
          <w:p>
            <w:pPr>
              <w:spacing w:line="260" w:lineRule="exact"/>
              <w:jc w:val="left"/>
              <w:outlineLvl w:val="0"/>
              <w:rPr>
                <w:rFonts w:ascii="宋体" w:hAnsi="宋体"/>
              </w:rPr>
            </w:pPr>
          </w:p>
        </w:tc>
        <w:tc>
          <w:tcPr>
            <w:tcW w:w="56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 w:cs="方正书宋_GBK"/>
                <w:b/>
                <w:bCs/>
              </w:rPr>
              <w:t>合计</w:t>
            </w:r>
          </w:p>
        </w:tc>
        <w:tc>
          <w:tcPr>
            <w:tcW w:w="56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 w:cs="方正书宋_GBK"/>
                <w:b/>
                <w:bCs/>
              </w:rPr>
              <w:t>一般公共预算拨款</w:t>
            </w:r>
          </w:p>
        </w:tc>
        <w:tc>
          <w:tcPr>
            <w:tcW w:w="511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 w:cs="方正书宋_GBK"/>
                <w:b/>
                <w:bCs/>
              </w:rPr>
              <w:t>基金预算拨款</w:t>
            </w:r>
          </w:p>
        </w:tc>
        <w:tc>
          <w:tcPr>
            <w:tcW w:w="551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 w:cs="方正书宋_GBK"/>
                <w:b/>
                <w:bCs/>
              </w:rPr>
              <w:t>财政专户核拨</w:t>
            </w:r>
          </w:p>
        </w:tc>
        <w:tc>
          <w:tcPr>
            <w:tcW w:w="551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 w:cs="方正书宋_GBK"/>
                <w:b/>
                <w:bCs/>
              </w:rPr>
              <w:t>其他来源收入</w:t>
            </w:r>
          </w:p>
        </w:tc>
        <w:tc>
          <w:tcPr>
            <w:tcW w:w="516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 w:cs="方正书宋_GBK"/>
                <w:b/>
                <w:bCs/>
              </w:rPr>
              <w:t>合　计</w:t>
            </w:r>
          </w:p>
        </w:tc>
        <w:tc>
          <w:tcPr>
            <w:tcW w:w="667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/>
                <w:b/>
                <w:bCs/>
              </w:rPr>
            </w:pPr>
          </w:p>
        </w:tc>
        <w:tc>
          <w:tcPr>
            <w:tcW w:w="549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873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549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549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/>
                <w:b/>
                <w:bCs/>
              </w:rPr>
            </w:pPr>
          </w:p>
        </w:tc>
        <w:tc>
          <w:tcPr>
            <w:tcW w:w="564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/>
                <w:b/>
                <w:bCs/>
              </w:rPr>
            </w:pPr>
          </w:p>
        </w:tc>
        <w:tc>
          <w:tcPr>
            <w:tcW w:w="562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/>
                <w:b/>
                <w:bCs/>
              </w:rPr>
            </w:pPr>
          </w:p>
        </w:tc>
        <w:tc>
          <w:tcPr>
            <w:tcW w:w="562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/>
                <w:b/>
                <w:bCs/>
              </w:rPr>
            </w:pPr>
          </w:p>
        </w:tc>
        <w:tc>
          <w:tcPr>
            <w:tcW w:w="562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/>
                <w:b/>
                <w:bCs/>
              </w:rPr>
            </w:pPr>
          </w:p>
        </w:tc>
        <w:tc>
          <w:tcPr>
            <w:tcW w:w="511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/>
                <w:b/>
                <w:bCs/>
              </w:rPr>
            </w:pPr>
          </w:p>
        </w:tc>
        <w:tc>
          <w:tcPr>
            <w:tcW w:w="516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/>
                <w:b/>
                <w:bCs/>
              </w:rPr>
            </w:pPr>
          </w:p>
        </w:tc>
        <w:tc>
          <w:tcPr>
            <w:tcW w:w="549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873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549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549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/>
                <w:b/>
                <w:bCs/>
              </w:rPr>
            </w:pPr>
          </w:p>
        </w:tc>
        <w:tc>
          <w:tcPr>
            <w:tcW w:w="564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/>
                <w:b/>
                <w:bCs/>
              </w:rPr>
            </w:pPr>
          </w:p>
        </w:tc>
        <w:tc>
          <w:tcPr>
            <w:tcW w:w="562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/>
                <w:b/>
                <w:bCs/>
              </w:rPr>
            </w:pPr>
          </w:p>
        </w:tc>
        <w:tc>
          <w:tcPr>
            <w:tcW w:w="562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/>
                <w:b/>
                <w:bCs/>
              </w:rPr>
            </w:pPr>
          </w:p>
        </w:tc>
        <w:tc>
          <w:tcPr>
            <w:tcW w:w="562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/>
                <w:b/>
                <w:bCs/>
              </w:rPr>
            </w:pPr>
          </w:p>
        </w:tc>
        <w:tc>
          <w:tcPr>
            <w:tcW w:w="511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/>
                <w:b/>
                <w:bCs/>
              </w:rPr>
            </w:pPr>
          </w:p>
        </w:tc>
        <w:tc>
          <w:tcPr>
            <w:tcW w:w="516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4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/>
              </w:rPr>
            </w:pPr>
          </w:p>
        </w:tc>
        <w:tc>
          <w:tcPr>
            <w:tcW w:w="549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</w:rPr>
            </w:pPr>
          </w:p>
        </w:tc>
        <w:tc>
          <w:tcPr>
            <w:tcW w:w="873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</w:rPr>
            </w:pPr>
          </w:p>
        </w:tc>
        <w:tc>
          <w:tcPr>
            <w:tcW w:w="549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</w:rPr>
            </w:pPr>
          </w:p>
        </w:tc>
        <w:tc>
          <w:tcPr>
            <w:tcW w:w="549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/>
              </w:rPr>
            </w:pPr>
          </w:p>
        </w:tc>
        <w:tc>
          <w:tcPr>
            <w:tcW w:w="564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/>
              </w:rPr>
            </w:pPr>
          </w:p>
        </w:tc>
        <w:tc>
          <w:tcPr>
            <w:tcW w:w="562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/>
              </w:rPr>
            </w:pPr>
          </w:p>
        </w:tc>
        <w:tc>
          <w:tcPr>
            <w:tcW w:w="562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/>
              </w:rPr>
            </w:pPr>
          </w:p>
        </w:tc>
        <w:tc>
          <w:tcPr>
            <w:tcW w:w="562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/>
              </w:rPr>
            </w:pPr>
          </w:p>
        </w:tc>
        <w:tc>
          <w:tcPr>
            <w:tcW w:w="511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/>
              </w:rPr>
            </w:pPr>
          </w:p>
        </w:tc>
        <w:tc>
          <w:tcPr>
            <w:tcW w:w="516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4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/>
              </w:rPr>
            </w:pPr>
          </w:p>
        </w:tc>
        <w:tc>
          <w:tcPr>
            <w:tcW w:w="549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</w:rPr>
            </w:pPr>
          </w:p>
        </w:tc>
        <w:tc>
          <w:tcPr>
            <w:tcW w:w="873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</w:rPr>
            </w:pPr>
          </w:p>
        </w:tc>
        <w:tc>
          <w:tcPr>
            <w:tcW w:w="549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</w:rPr>
            </w:pPr>
          </w:p>
        </w:tc>
        <w:tc>
          <w:tcPr>
            <w:tcW w:w="549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/>
              </w:rPr>
            </w:pPr>
          </w:p>
        </w:tc>
        <w:tc>
          <w:tcPr>
            <w:tcW w:w="564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/>
              </w:rPr>
            </w:pPr>
          </w:p>
        </w:tc>
        <w:tc>
          <w:tcPr>
            <w:tcW w:w="562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/>
              </w:rPr>
            </w:pPr>
          </w:p>
        </w:tc>
        <w:tc>
          <w:tcPr>
            <w:tcW w:w="562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/>
              </w:rPr>
            </w:pPr>
          </w:p>
        </w:tc>
        <w:tc>
          <w:tcPr>
            <w:tcW w:w="562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/>
              </w:rPr>
            </w:pPr>
          </w:p>
        </w:tc>
        <w:tc>
          <w:tcPr>
            <w:tcW w:w="511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/>
              </w:rPr>
            </w:pPr>
          </w:p>
        </w:tc>
        <w:tc>
          <w:tcPr>
            <w:tcW w:w="516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/>
              </w:rPr>
            </w:pPr>
          </w:p>
        </w:tc>
      </w:tr>
    </w:tbl>
    <w:p>
      <w:pPr>
        <w:snapToGrid w:val="0"/>
        <w:spacing w:line="580" w:lineRule="exact"/>
        <w:ind w:firstLine="480" w:firstLineChars="150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580" w:lineRule="exact"/>
        <w:ind w:firstLine="479" w:firstLineChars="149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七、国有资产情况</w:t>
      </w:r>
    </w:p>
    <w:p>
      <w:pPr>
        <w:snapToGrid w:val="0"/>
        <w:spacing w:line="580" w:lineRule="exact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截止上年末固定资产账面结余27万元。本年度拟购置固定资产主要为办公电脑、打印设备、办公家具等，已列入政府采购预算，详见下表。</w:t>
      </w:r>
    </w:p>
    <w:p>
      <w:pPr>
        <w:snapToGrid w:val="0"/>
        <w:spacing w:line="580" w:lineRule="exact"/>
        <w:ind w:firstLine="480" w:firstLineChars="150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580" w:lineRule="exact"/>
        <w:ind w:firstLine="480" w:firstLineChars="150"/>
        <w:rPr>
          <w:rFonts w:hint="eastAsia" w:ascii="仿宋" w:hAnsi="仿宋" w:eastAsia="仿宋"/>
          <w:sz w:val="32"/>
          <w:szCs w:val="32"/>
        </w:rPr>
      </w:pPr>
    </w:p>
    <w:p>
      <w:pPr>
        <w:snapToGrid w:val="0"/>
        <w:spacing w:line="580" w:lineRule="exact"/>
        <w:ind w:firstLine="480" w:firstLineChars="150"/>
        <w:rPr>
          <w:rFonts w:hint="eastAsia" w:ascii="仿宋" w:hAnsi="仿宋" w:eastAsia="仿宋"/>
          <w:sz w:val="32"/>
          <w:szCs w:val="32"/>
        </w:rPr>
      </w:pPr>
    </w:p>
    <w:p>
      <w:pPr>
        <w:snapToGrid w:val="0"/>
        <w:spacing w:line="580" w:lineRule="exact"/>
        <w:ind w:firstLine="480" w:firstLineChars="150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580" w:lineRule="exact"/>
        <w:ind w:firstLine="480" w:firstLineChars="150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580" w:lineRule="exact"/>
        <w:jc w:val="center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>部门固定资产占用情况表</w:t>
      </w:r>
    </w:p>
    <w:p>
      <w:pPr>
        <w:widowControl/>
        <w:spacing w:line="580" w:lineRule="exac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kern w:val="0"/>
          <w:sz w:val="22"/>
        </w:rPr>
        <w:t>编制部门：成安县政协 截止时间：2017年12月31日</w:t>
      </w:r>
    </w:p>
    <w:tbl>
      <w:tblPr>
        <w:tblStyle w:val="7"/>
        <w:tblW w:w="875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2171"/>
        <w:gridCol w:w="307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>
            <w:pPr>
              <w:widowControl/>
              <w:spacing w:line="5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项目</w:t>
            </w:r>
          </w:p>
        </w:tc>
        <w:tc>
          <w:tcPr>
            <w:tcW w:w="2171" w:type="dxa"/>
          </w:tcPr>
          <w:p>
            <w:pPr>
              <w:widowControl/>
              <w:spacing w:line="5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数量</w:t>
            </w:r>
          </w:p>
        </w:tc>
        <w:tc>
          <w:tcPr>
            <w:tcW w:w="3074" w:type="dxa"/>
          </w:tcPr>
          <w:p>
            <w:pPr>
              <w:widowControl/>
              <w:spacing w:line="5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价值（金额单位：万元）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>
            <w:pPr>
              <w:widowControl/>
              <w:spacing w:line="5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资产总额</w:t>
            </w:r>
          </w:p>
        </w:tc>
        <w:tc>
          <w:tcPr>
            <w:tcW w:w="2171" w:type="dxa"/>
          </w:tcPr>
          <w:p>
            <w:pPr>
              <w:widowControl/>
              <w:spacing w:line="5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074" w:type="dxa"/>
          </w:tcPr>
          <w:p>
            <w:pPr>
              <w:widowControl/>
              <w:spacing w:line="5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1、房屋（平方米）</w:t>
            </w:r>
          </w:p>
        </w:tc>
        <w:tc>
          <w:tcPr>
            <w:tcW w:w="2171" w:type="dxa"/>
          </w:tcPr>
          <w:p>
            <w:pPr>
              <w:widowControl/>
              <w:spacing w:line="5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074" w:type="dxa"/>
          </w:tcPr>
          <w:p>
            <w:pPr>
              <w:widowControl/>
              <w:spacing w:line="5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  其中：办公用房（平方米）</w:t>
            </w:r>
          </w:p>
        </w:tc>
        <w:tc>
          <w:tcPr>
            <w:tcW w:w="2171" w:type="dxa"/>
          </w:tcPr>
          <w:p>
            <w:pPr>
              <w:widowControl/>
              <w:spacing w:line="5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074" w:type="dxa"/>
          </w:tcPr>
          <w:p>
            <w:pPr>
              <w:widowControl/>
              <w:spacing w:line="5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2、车辆（台、辆）</w:t>
            </w:r>
          </w:p>
        </w:tc>
        <w:tc>
          <w:tcPr>
            <w:tcW w:w="2171" w:type="dxa"/>
          </w:tcPr>
          <w:p>
            <w:pPr>
              <w:widowControl/>
              <w:spacing w:line="5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</w:t>
            </w:r>
          </w:p>
        </w:tc>
        <w:tc>
          <w:tcPr>
            <w:tcW w:w="3074" w:type="dxa"/>
          </w:tcPr>
          <w:p>
            <w:pPr>
              <w:widowControl/>
              <w:spacing w:line="5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3、单价在</w:t>
            </w:r>
            <w:r>
              <w:rPr>
                <w:rFonts w:ascii="宋体" w:hAnsi="宋体" w:cs="宋体"/>
                <w:kern w:val="0"/>
                <w:sz w:val="22"/>
              </w:rPr>
              <w:t>50</w:t>
            </w:r>
            <w:r>
              <w:rPr>
                <w:rFonts w:hint="eastAsia" w:ascii="宋体" w:hAnsi="宋体" w:cs="宋体"/>
                <w:kern w:val="0"/>
                <w:sz w:val="22"/>
              </w:rPr>
              <w:t>万元以上的设备</w:t>
            </w:r>
          </w:p>
        </w:tc>
        <w:tc>
          <w:tcPr>
            <w:tcW w:w="2171" w:type="dxa"/>
          </w:tcPr>
          <w:p>
            <w:pPr>
              <w:widowControl/>
              <w:spacing w:line="5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074" w:type="dxa"/>
          </w:tcPr>
          <w:p>
            <w:pPr>
              <w:widowControl/>
              <w:spacing w:line="5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>
            <w:pPr>
              <w:widowControl/>
              <w:spacing w:line="5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其他固定资产</w:t>
            </w:r>
          </w:p>
        </w:tc>
        <w:tc>
          <w:tcPr>
            <w:tcW w:w="2171" w:type="dxa"/>
          </w:tcPr>
          <w:p>
            <w:pPr>
              <w:widowControl/>
              <w:spacing w:line="5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7</w:t>
            </w:r>
          </w:p>
        </w:tc>
        <w:tc>
          <w:tcPr>
            <w:tcW w:w="3074" w:type="dxa"/>
          </w:tcPr>
          <w:p>
            <w:pPr>
              <w:widowControl/>
              <w:spacing w:line="5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7</w:t>
            </w:r>
          </w:p>
        </w:tc>
      </w:tr>
    </w:tbl>
    <w:p>
      <w:pPr>
        <w:snapToGrid w:val="0"/>
        <w:spacing w:line="560" w:lineRule="exact"/>
        <w:ind w:firstLine="480" w:firstLineChars="1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八、名词解释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、财政拨款收入：指</w:t>
      </w:r>
      <w:r>
        <w:rPr>
          <w:rFonts w:hint="eastAsia" w:ascii="仿宋" w:hAnsi="仿宋" w:eastAsia="仿宋" w:cs="仿宋"/>
          <w:kern w:val="0"/>
          <w:sz w:val="32"/>
          <w:szCs w:val="32"/>
        </w:rPr>
        <w:t>财政当年拨付的资金。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、“三公”经费：包括因公出国（境）费、公务接待费和公务用车购置及运行费。因公出国（境）费，指单位工作人员公务出国（境）的住宿费、差旅费、伙食补助费、杂费、培训费等支出。公务接待费，指单位按规定开支的各类公务接待（含外宾接待）支出。公务用车购置及运行费，指单位公务用车购置费及租用费、燃料费、维修费、等支出，公务用车指用于履行公务的机动车辆，包括领导干部专车、一般公务用车和执法执勤等业务用车。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微软雅黑"/>
          <w:kern w:val="0"/>
          <w:sz w:val="32"/>
          <w:szCs w:val="32"/>
        </w:rPr>
        <w:t xml:space="preserve"> 3</w:t>
      </w:r>
      <w:r>
        <w:rPr>
          <w:rFonts w:hint="eastAsia" w:ascii="仿宋" w:hAnsi="仿宋" w:eastAsia="仿宋" w:cs="仿宋"/>
          <w:kern w:val="0"/>
          <w:sz w:val="32"/>
          <w:szCs w:val="32"/>
        </w:rPr>
        <w:t>、年初结转和结余：指以前年度尚未完成，结转到本年仍按照原规定用途继续使用的资金，或项目已完成等产生的结余资金。</w:t>
      </w:r>
      <w:r>
        <w:rPr>
          <w:rFonts w:hint="eastAsia" w:ascii="宋体" w:hAnsi="宋体" w:cs="宋体"/>
          <w:kern w:val="0"/>
          <w:sz w:val="32"/>
          <w:szCs w:val="32"/>
        </w:rPr>
        <w:t> 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4、基本支出：指单位为了保障其正常运转、完成日常工作任务而发生的人员支出和公用支出。</w:t>
      </w:r>
      <w:r>
        <w:rPr>
          <w:rFonts w:hint="eastAsia" w:ascii="宋体" w:hAnsi="宋体" w:cs="宋体"/>
          <w:kern w:val="0"/>
          <w:sz w:val="32"/>
          <w:szCs w:val="32"/>
        </w:rPr>
        <w:t> 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5、项目支出</w:t>
      </w:r>
      <w:r>
        <w:rPr>
          <w:rFonts w:hint="eastAsia" w:ascii="仿宋" w:hAnsi="仿宋" w:eastAsia="仿宋" w:cs="仿宋"/>
          <w:b/>
          <w:kern w:val="0"/>
          <w:sz w:val="32"/>
          <w:szCs w:val="32"/>
        </w:rPr>
        <w:t>：</w:t>
      </w:r>
      <w:r>
        <w:rPr>
          <w:rFonts w:hint="eastAsia" w:ascii="仿宋" w:hAnsi="仿宋" w:eastAsia="仿宋" w:cs="仿宋"/>
          <w:kern w:val="0"/>
          <w:sz w:val="32"/>
          <w:szCs w:val="32"/>
        </w:rPr>
        <w:t>指单位为了特定的工作任务和事业发展目标，在基本支出之外所发生的支出。</w:t>
      </w:r>
    </w:p>
    <w:p>
      <w:pPr>
        <w:tabs>
          <w:tab w:val="left" w:pos="11490"/>
        </w:tabs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九、其它需要说明的事项</w:t>
      </w:r>
    </w:p>
    <w:p>
      <w:pPr>
        <w:tabs>
          <w:tab w:val="left" w:pos="11490"/>
        </w:tabs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仿宋" w:hAnsi="仿宋" w:eastAsia="仿宋" w:cs="方正仿宋_GBK"/>
          <w:bCs/>
          <w:sz w:val="32"/>
          <w:szCs w:val="32"/>
        </w:rPr>
        <w:t>无其它需要说明的事项</w:t>
      </w:r>
      <w:r>
        <w:rPr>
          <w:rFonts w:hint="eastAsia" w:ascii="宋体" w:hAnsi="宋体" w:cs="方正仿宋_GBK"/>
          <w:bCs/>
          <w:sz w:val="32"/>
          <w:szCs w:val="32"/>
        </w:rPr>
        <w:t>。</w:t>
      </w:r>
    </w:p>
    <w:p>
      <w:pPr>
        <w:spacing w:line="560" w:lineRule="exact"/>
        <w:ind w:firstLine="645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560" w:lineRule="exact"/>
        <w:ind w:firstLine="482" w:firstLineChars="150"/>
        <w:rPr>
          <w:rFonts w:ascii="仿宋" w:hAnsi="仿宋" w:eastAsia="仿宋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楷体_GBK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仿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瀹嬩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rPr>
        <w:lang w:val="zh-CN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c5ZTRiNjRjNGMzNTlmNzA3YzQ4ZmQ1OGJmYjU4NmIifQ=="/>
  </w:docVars>
  <w:rsids>
    <w:rsidRoot w:val="00951D86"/>
    <w:rsid w:val="00010B79"/>
    <w:rsid w:val="000201FB"/>
    <w:rsid w:val="00021CBD"/>
    <w:rsid w:val="00032EF5"/>
    <w:rsid w:val="00036C9A"/>
    <w:rsid w:val="00054D9D"/>
    <w:rsid w:val="000651CB"/>
    <w:rsid w:val="00067572"/>
    <w:rsid w:val="000A3082"/>
    <w:rsid w:val="000A5115"/>
    <w:rsid w:val="000B3632"/>
    <w:rsid w:val="000C3937"/>
    <w:rsid w:val="000C399B"/>
    <w:rsid w:val="000C5719"/>
    <w:rsid w:val="000C5C8F"/>
    <w:rsid w:val="000C6439"/>
    <w:rsid w:val="000E16F6"/>
    <w:rsid w:val="00100B1A"/>
    <w:rsid w:val="00105A43"/>
    <w:rsid w:val="001105DC"/>
    <w:rsid w:val="00111A7C"/>
    <w:rsid w:val="00117C60"/>
    <w:rsid w:val="0016044C"/>
    <w:rsid w:val="00171786"/>
    <w:rsid w:val="00175BEA"/>
    <w:rsid w:val="00181DCC"/>
    <w:rsid w:val="001931ED"/>
    <w:rsid w:val="00193E43"/>
    <w:rsid w:val="001A7F8D"/>
    <w:rsid w:val="001B0841"/>
    <w:rsid w:val="001B1BFC"/>
    <w:rsid w:val="001C607F"/>
    <w:rsid w:val="001F780E"/>
    <w:rsid w:val="00205B57"/>
    <w:rsid w:val="0021277D"/>
    <w:rsid w:val="002132D8"/>
    <w:rsid w:val="00223352"/>
    <w:rsid w:val="00225045"/>
    <w:rsid w:val="00226F14"/>
    <w:rsid w:val="00240EFA"/>
    <w:rsid w:val="002457CE"/>
    <w:rsid w:val="002622DC"/>
    <w:rsid w:val="00290426"/>
    <w:rsid w:val="00293459"/>
    <w:rsid w:val="002D25A4"/>
    <w:rsid w:val="002D6319"/>
    <w:rsid w:val="002D78E6"/>
    <w:rsid w:val="002F30FF"/>
    <w:rsid w:val="002F6081"/>
    <w:rsid w:val="003022C9"/>
    <w:rsid w:val="00324790"/>
    <w:rsid w:val="003303C1"/>
    <w:rsid w:val="00375DA3"/>
    <w:rsid w:val="003A5D63"/>
    <w:rsid w:val="003D334A"/>
    <w:rsid w:val="003F4CA9"/>
    <w:rsid w:val="00414987"/>
    <w:rsid w:val="00430792"/>
    <w:rsid w:val="00433B10"/>
    <w:rsid w:val="00435014"/>
    <w:rsid w:val="00437CC4"/>
    <w:rsid w:val="00453D5B"/>
    <w:rsid w:val="004555D5"/>
    <w:rsid w:val="00466333"/>
    <w:rsid w:val="0047635F"/>
    <w:rsid w:val="00476513"/>
    <w:rsid w:val="004B48B4"/>
    <w:rsid w:val="004B5D93"/>
    <w:rsid w:val="004D03CA"/>
    <w:rsid w:val="004D6A22"/>
    <w:rsid w:val="004F20AD"/>
    <w:rsid w:val="00505055"/>
    <w:rsid w:val="00506AB0"/>
    <w:rsid w:val="005221A5"/>
    <w:rsid w:val="00524D74"/>
    <w:rsid w:val="00527C51"/>
    <w:rsid w:val="00536215"/>
    <w:rsid w:val="0055081A"/>
    <w:rsid w:val="0055316A"/>
    <w:rsid w:val="00556A4E"/>
    <w:rsid w:val="00557E9B"/>
    <w:rsid w:val="0056353C"/>
    <w:rsid w:val="00571E2F"/>
    <w:rsid w:val="00575620"/>
    <w:rsid w:val="00580FDE"/>
    <w:rsid w:val="00582938"/>
    <w:rsid w:val="005911FB"/>
    <w:rsid w:val="005957BD"/>
    <w:rsid w:val="00596AB2"/>
    <w:rsid w:val="005A71B7"/>
    <w:rsid w:val="005A7562"/>
    <w:rsid w:val="005C285B"/>
    <w:rsid w:val="005D723E"/>
    <w:rsid w:val="005E333B"/>
    <w:rsid w:val="005F0086"/>
    <w:rsid w:val="00603515"/>
    <w:rsid w:val="00612F40"/>
    <w:rsid w:val="00613E15"/>
    <w:rsid w:val="0064020E"/>
    <w:rsid w:val="0065703B"/>
    <w:rsid w:val="00680EEE"/>
    <w:rsid w:val="00681CA8"/>
    <w:rsid w:val="00685E4A"/>
    <w:rsid w:val="006A62D1"/>
    <w:rsid w:val="006E4611"/>
    <w:rsid w:val="00710894"/>
    <w:rsid w:val="00717702"/>
    <w:rsid w:val="00717C2E"/>
    <w:rsid w:val="00720416"/>
    <w:rsid w:val="00724AF1"/>
    <w:rsid w:val="007378C6"/>
    <w:rsid w:val="007430AE"/>
    <w:rsid w:val="00746AE8"/>
    <w:rsid w:val="00772A66"/>
    <w:rsid w:val="007738D7"/>
    <w:rsid w:val="007A53A8"/>
    <w:rsid w:val="007B1F7D"/>
    <w:rsid w:val="007C5053"/>
    <w:rsid w:val="007C7494"/>
    <w:rsid w:val="007D291E"/>
    <w:rsid w:val="007D436A"/>
    <w:rsid w:val="007F1A99"/>
    <w:rsid w:val="007F432C"/>
    <w:rsid w:val="007F4809"/>
    <w:rsid w:val="0081119C"/>
    <w:rsid w:val="008177FA"/>
    <w:rsid w:val="008240AE"/>
    <w:rsid w:val="00827708"/>
    <w:rsid w:val="00834319"/>
    <w:rsid w:val="00842080"/>
    <w:rsid w:val="00845E48"/>
    <w:rsid w:val="00867981"/>
    <w:rsid w:val="00867F04"/>
    <w:rsid w:val="008A50C0"/>
    <w:rsid w:val="008D02FE"/>
    <w:rsid w:val="008F31BB"/>
    <w:rsid w:val="008F5CFA"/>
    <w:rsid w:val="00904CD9"/>
    <w:rsid w:val="00911808"/>
    <w:rsid w:val="00927377"/>
    <w:rsid w:val="00941011"/>
    <w:rsid w:val="00946AA9"/>
    <w:rsid w:val="00951D86"/>
    <w:rsid w:val="009618AE"/>
    <w:rsid w:val="009771E1"/>
    <w:rsid w:val="00986790"/>
    <w:rsid w:val="009A4997"/>
    <w:rsid w:val="009C2733"/>
    <w:rsid w:val="009C5DA3"/>
    <w:rsid w:val="009D057B"/>
    <w:rsid w:val="009E14C2"/>
    <w:rsid w:val="009F44C6"/>
    <w:rsid w:val="00A0061F"/>
    <w:rsid w:val="00A1667E"/>
    <w:rsid w:val="00A24CD6"/>
    <w:rsid w:val="00A270DF"/>
    <w:rsid w:val="00A32844"/>
    <w:rsid w:val="00A34504"/>
    <w:rsid w:val="00A473A5"/>
    <w:rsid w:val="00A53772"/>
    <w:rsid w:val="00A943B0"/>
    <w:rsid w:val="00AA2771"/>
    <w:rsid w:val="00AB327C"/>
    <w:rsid w:val="00AC0076"/>
    <w:rsid w:val="00AD0E79"/>
    <w:rsid w:val="00AF21C3"/>
    <w:rsid w:val="00B63C38"/>
    <w:rsid w:val="00B723F1"/>
    <w:rsid w:val="00B80A4B"/>
    <w:rsid w:val="00B955D1"/>
    <w:rsid w:val="00BB65C0"/>
    <w:rsid w:val="00BC3A3C"/>
    <w:rsid w:val="00BF237A"/>
    <w:rsid w:val="00C34C93"/>
    <w:rsid w:val="00C51001"/>
    <w:rsid w:val="00C97316"/>
    <w:rsid w:val="00CA5C7F"/>
    <w:rsid w:val="00CB60A5"/>
    <w:rsid w:val="00CB62DE"/>
    <w:rsid w:val="00CB69D4"/>
    <w:rsid w:val="00D00929"/>
    <w:rsid w:val="00D05755"/>
    <w:rsid w:val="00D11F51"/>
    <w:rsid w:val="00D14DAC"/>
    <w:rsid w:val="00D21A55"/>
    <w:rsid w:val="00D24C19"/>
    <w:rsid w:val="00D27C93"/>
    <w:rsid w:val="00D440A7"/>
    <w:rsid w:val="00D46D37"/>
    <w:rsid w:val="00D728E3"/>
    <w:rsid w:val="00D808DD"/>
    <w:rsid w:val="00D90C1F"/>
    <w:rsid w:val="00D90DB0"/>
    <w:rsid w:val="00DA190B"/>
    <w:rsid w:val="00DA6B8C"/>
    <w:rsid w:val="00DB4539"/>
    <w:rsid w:val="00DC0F21"/>
    <w:rsid w:val="00DC251F"/>
    <w:rsid w:val="00DE3490"/>
    <w:rsid w:val="00DF013A"/>
    <w:rsid w:val="00DF2550"/>
    <w:rsid w:val="00E00EE7"/>
    <w:rsid w:val="00E12C39"/>
    <w:rsid w:val="00E22538"/>
    <w:rsid w:val="00E232E9"/>
    <w:rsid w:val="00E31DAB"/>
    <w:rsid w:val="00E376FA"/>
    <w:rsid w:val="00E42DD3"/>
    <w:rsid w:val="00E451B8"/>
    <w:rsid w:val="00E46D06"/>
    <w:rsid w:val="00E70DA7"/>
    <w:rsid w:val="00E758C9"/>
    <w:rsid w:val="00E76E6C"/>
    <w:rsid w:val="00E776E0"/>
    <w:rsid w:val="00E87706"/>
    <w:rsid w:val="00EA43FC"/>
    <w:rsid w:val="00EA686F"/>
    <w:rsid w:val="00EA7AF5"/>
    <w:rsid w:val="00EB277D"/>
    <w:rsid w:val="00EB4213"/>
    <w:rsid w:val="00EE013A"/>
    <w:rsid w:val="00EF46AE"/>
    <w:rsid w:val="00F052F5"/>
    <w:rsid w:val="00F05460"/>
    <w:rsid w:val="00F06A83"/>
    <w:rsid w:val="00F06D0A"/>
    <w:rsid w:val="00F13A27"/>
    <w:rsid w:val="00F15950"/>
    <w:rsid w:val="00F30BE3"/>
    <w:rsid w:val="00F37500"/>
    <w:rsid w:val="00F4264F"/>
    <w:rsid w:val="00F5340A"/>
    <w:rsid w:val="00F56682"/>
    <w:rsid w:val="00F61E2C"/>
    <w:rsid w:val="00F8242A"/>
    <w:rsid w:val="00FB7241"/>
    <w:rsid w:val="00FD6ED8"/>
    <w:rsid w:val="00FE1F9D"/>
    <w:rsid w:val="082158A1"/>
    <w:rsid w:val="08466094"/>
    <w:rsid w:val="096D0A09"/>
    <w:rsid w:val="158542BA"/>
    <w:rsid w:val="204B2EED"/>
    <w:rsid w:val="206F747E"/>
    <w:rsid w:val="254F77AD"/>
    <w:rsid w:val="26D81330"/>
    <w:rsid w:val="26F81F5E"/>
    <w:rsid w:val="27B61F7B"/>
    <w:rsid w:val="296E0A57"/>
    <w:rsid w:val="2AD817E9"/>
    <w:rsid w:val="2BA045E8"/>
    <w:rsid w:val="2D406094"/>
    <w:rsid w:val="2F8F2644"/>
    <w:rsid w:val="2FAF6B50"/>
    <w:rsid w:val="2FE60BAD"/>
    <w:rsid w:val="38827901"/>
    <w:rsid w:val="39AA09D2"/>
    <w:rsid w:val="3D581786"/>
    <w:rsid w:val="456F04B9"/>
    <w:rsid w:val="47B71006"/>
    <w:rsid w:val="47DC5ED2"/>
    <w:rsid w:val="4C2702E0"/>
    <w:rsid w:val="4D196F1B"/>
    <w:rsid w:val="4F18736F"/>
    <w:rsid w:val="51E93AB7"/>
    <w:rsid w:val="56B22030"/>
    <w:rsid w:val="57EA1292"/>
    <w:rsid w:val="58C15A72"/>
    <w:rsid w:val="58CE23BE"/>
    <w:rsid w:val="5FDC5847"/>
    <w:rsid w:val="672C4A01"/>
    <w:rsid w:val="69C061A4"/>
    <w:rsid w:val="6E8A5E15"/>
    <w:rsid w:val="6EA46460"/>
    <w:rsid w:val="6F5F292A"/>
    <w:rsid w:val="6FC57B67"/>
    <w:rsid w:val="78B479CF"/>
    <w:rsid w:val="797C73DF"/>
    <w:rsid w:val="7A9A74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9">
    <w:name w:val="页脚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0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日期 Char"/>
    <w:basedOn w:val="8"/>
    <w:link w:val="2"/>
    <w:qFormat/>
    <w:uiPriority w:val="0"/>
    <w:rPr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3EF45-A699-44AE-942C-3FC32D1A8D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8</Pages>
  <Words>439</Words>
  <Characters>2506</Characters>
  <Lines>20</Lines>
  <Paragraphs>5</Paragraphs>
  <TotalTime>8</TotalTime>
  <ScaleCrop>false</ScaleCrop>
  <LinksUpToDate>false</LinksUpToDate>
  <CharactersWithSpaces>2940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2017-11-11T06:21:00Z</dcterms:created>
  <dc:creator>Administrator</dc:creator>
  <cp:lastModifiedBy>WPS_1657181579</cp:lastModifiedBy>
  <cp:lastPrinted>2018-03-28T09:15:00Z</cp:lastPrinted>
  <dcterms:modified xsi:type="dcterms:W3CDTF">2024-02-21T04:34:08Z</dcterms:modified>
  <dc:title>职责分类绩效目标：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135EE8C77FF1402E90F288FAFC336B83_12</vt:lpwstr>
  </property>
</Properties>
</file>