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成安县统计局所属部门</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17</w:t>
      </w:r>
      <w:r>
        <w:fldChar w:fldCharType="end"/>
      </w:r>
      <w:r>
        <w:fldChar w:fldCharType="end"/>
      </w:r>
    </w:p>
    <w:p>
      <w:pPr>
        <w:jc w:val="center"/>
        <w:outlineLvl w:val="0"/>
      </w:pPr>
      <w:r>
        <w:fldChar w:fldCharType="end"/>
      </w:r>
      <w:bookmarkStart w:id="0" w:name="_Toc_4_4_0000000019"/>
      <w:r>
        <w:rPr>
          <w:rFonts w:ascii="方正小标宋_GBK" w:hAnsi="方正小标宋_GBK" w:eastAsia="方正小标宋_GBK" w:cs="方正小标宋_GBK"/>
          <w:color w:val="000000"/>
          <w:sz w:val="44"/>
        </w:rPr>
        <w:t>成安县统计局机关收支预算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410001成安县统计局机关</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226.11</w:t>
            </w:r>
          </w:p>
        </w:tc>
        <w:tc>
          <w:tcPr>
            <w:tcW w:w="4535" w:type="dxa"/>
            <w:vAlign w:val="center"/>
          </w:tcPr>
          <w:p>
            <w:pPr>
              <w:pStyle w:val="16"/>
            </w:pPr>
            <w:r>
              <w:t>一、一般公共服务支出</w:t>
            </w:r>
          </w:p>
        </w:tc>
        <w:tc>
          <w:tcPr>
            <w:tcW w:w="2126" w:type="dxa"/>
            <w:vAlign w:val="center"/>
          </w:tcPr>
          <w:p>
            <w:pPr>
              <w:pStyle w:val="15"/>
            </w:pPr>
            <w:r>
              <w:t>177.31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226.11</w:t>
            </w:r>
          </w:p>
        </w:tc>
        <w:tc>
          <w:tcPr>
            <w:tcW w:w="4535" w:type="dxa"/>
            <w:vAlign w:val="center"/>
          </w:tcPr>
          <w:p>
            <w:pPr>
              <w:pStyle w:val="18"/>
            </w:pPr>
            <w:r>
              <w:t>本年支出合计</w:t>
            </w:r>
          </w:p>
        </w:tc>
        <w:tc>
          <w:tcPr>
            <w:tcW w:w="2126" w:type="dxa"/>
            <w:vAlign w:val="center"/>
          </w:tcPr>
          <w:p>
            <w:pPr>
              <w:pStyle w:val="19"/>
            </w:pPr>
            <w:r>
              <w:t>226.11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226.11</w:t>
            </w:r>
          </w:p>
        </w:tc>
        <w:tc>
          <w:tcPr>
            <w:tcW w:w="4535" w:type="dxa"/>
            <w:vAlign w:val="center"/>
          </w:tcPr>
          <w:p>
            <w:pPr>
              <w:pStyle w:val="18"/>
            </w:pPr>
            <w:r>
              <w:t>支出总计</w:t>
            </w:r>
          </w:p>
        </w:tc>
        <w:tc>
          <w:tcPr>
            <w:tcW w:w="2126" w:type="dxa"/>
            <w:vAlign w:val="center"/>
          </w:tcPr>
          <w:p>
            <w:pPr>
              <w:pStyle w:val="19"/>
            </w:pPr>
            <w:r>
              <w:t>226.11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410001成安县统计局机关</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226.11</w:t>
            </w:r>
          </w:p>
        </w:tc>
        <w:tc>
          <w:tcPr>
            <w:tcW w:w="1134" w:type="dxa"/>
            <w:vAlign w:val="center"/>
          </w:tcPr>
          <w:p>
            <w:pPr>
              <w:pStyle w:val="19"/>
            </w:pPr>
            <w:r>
              <w:t>226.11</w:t>
            </w:r>
          </w:p>
        </w:tc>
        <w:tc>
          <w:tcPr>
            <w:tcW w:w="1134" w:type="dxa"/>
            <w:vAlign w:val="center"/>
          </w:tcPr>
          <w:p>
            <w:pPr>
              <w:pStyle w:val="19"/>
            </w:pPr>
            <w:r>
              <w:t>226.11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177.31</w:t>
            </w:r>
          </w:p>
        </w:tc>
        <w:tc>
          <w:tcPr>
            <w:tcW w:w="1134" w:type="dxa"/>
            <w:vAlign w:val="center"/>
          </w:tcPr>
          <w:p>
            <w:pPr>
              <w:pStyle w:val="15"/>
            </w:pPr>
            <w:r>
              <w:t>177.31</w:t>
            </w:r>
          </w:p>
        </w:tc>
        <w:tc>
          <w:tcPr>
            <w:tcW w:w="1134" w:type="dxa"/>
            <w:vAlign w:val="center"/>
          </w:tcPr>
          <w:p>
            <w:pPr>
              <w:pStyle w:val="15"/>
            </w:pPr>
            <w:r>
              <w:t>177.31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20105</w:t>
            </w:r>
          </w:p>
        </w:tc>
        <w:tc>
          <w:tcPr>
            <w:tcW w:w="1559" w:type="dxa"/>
            <w:vAlign w:val="center"/>
          </w:tcPr>
          <w:p>
            <w:pPr>
              <w:pStyle w:val="16"/>
            </w:pPr>
            <w:r>
              <w:t>统计信息事务</w:t>
            </w:r>
          </w:p>
        </w:tc>
        <w:tc>
          <w:tcPr>
            <w:tcW w:w="1134" w:type="dxa"/>
            <w:vAlign w:val="center"/>
          </w:tcPr>
          <w:p>
            <w:pPr>
              <w:pStyle w:val="15"/>
            </w:pPr>
            <w:r>
              <w:t>177.31</w:t>
            </w:r>
          </w:p>
        </w:tc>
        <w:tc>
          <w:tcPr>
            <w:tcW w:w="1134" w:type="dxa"/>
            <w:vAlign w:val="center"/>
          </w:tcPr>
          <w:p>
            <w:pPr>
              <w:pStyle w:val="15"/>
            </w:pPr>
            <w:r>
              <w:t>177.31</w:t>
            </w:r>
          </w:p>
        </w:tc>
        <w:tc>
          <w:tcPr>
            <w:tcW w:w="1134" w:type="dxa"/>
            <w:vAlign w:val="center"/>
          </w:tcPr>
          <w:p>
            <w:pPr>
              <w:pStyle w:val="15"/>
            </w:pPr>
            <w:r>
              <w:t>177.31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2010501</w:t>
            </w:r>
          </w:p>
        </w:tc>
        <w:tc>
          <w:tcPr>
            <w:tcW w:w="1559" w:type="dxa"/>
            <w:vAlign w:val="center"/>
          </w:tcPr>
          <w:p>
            <w:pPr>
              <w:pStyle w:val="16"/>
            </w:pPr>
            <w:r>
              <w:t>行政运行</w:t>
            </w:r>
          </w:p>
        </w:tc>
        <w:tc>
          <w:tcPr>
            <w:tcW w:w="1134" w:type="dxa"/>
            <w:vAlign w:val="center"/>
          </w:tcPr>
          <w:p>
            <w:pPr>
              <w:pStyle w:val="15"/>
            </w:pPr>
            <w:r>
              <w:t>177.31</w:t>
            </w:r>
          </w:p>
        </w:tc>
        <w:tc>
          <w:tcPr>
            <w:tcW w:w="1134" w:type="dxa"/>
            <w:vAlign w:val="center"/>
          </w:tcPr>
          <w:p>
            <w:pPr>
              <w:pStyle w:val="15"/>
            </w:pPr>
            <w:r>
              <w:t>177.31</w:t>
            </w:r>
          </w:p>
        </w:tc>
        <w:tc>
          <w:tcPr>
            <w:tcW w:w="1134" w:type="dxa"/>
            <w:vAlign w:val="center"/>
          </w:tcPr>
          <w:p>
            <w:pPr>
              <w:pStyle w:val="15"/>
            </w:pPr>
            <w:r>
              <w:t>177.31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18.33</w:t>
            </w:r>
          </w:p>
        </w:tc>
        <w:tc>
          <w:tcPr>
            <w:tcW w:w="1134" w:type="dxa"/>
            <w:vAlign w:val="center"/>
          </w:tcPr>
          <w:p>
            <w:pPr>
              <w:pStyle w:val="15"/>
            </w:pPr>
            <w:r>
              <w:t>18.33</w:t>
            </w:r>
          </w:p>
        </w:tc>
        <w:tc>
          <w:tcPr>
            <w:tcW w:w="1134" w:type="dxa"/>
            <w:vAlign w:val="center"/>
          </w:tcPr>
          <w:p>
            <w:pPr>
              <w:pStyle w:val="15"/>
            </w:pPr>
            <w:r>
              <w:t>18.33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9.38</w:t>
            </w:r>
          </w:p>
        </w:tc>
        <w:tc>
          <w:tcPr>
            <w:tcW w:w="1134" w:type="dxa"/>
            <w:vAlign w:val="center"/>
          </w:tcPr>
          <w:p>
            <w:pPr>
              <w:pStyle w:val="15"/>
            </w:pPr>
            <w:r>
              <w:t>9.38</w:t>
            </w:r>
          </w:p>
        </w:tc>
        <w:tc>
          <w:tcPr>
            <w:tcW w:w="1134" w:type="dxa"/>
            <w:vAlign w:val="center"/>
          </w:tcPr>
          <w:p>
            <w:pPr>
              <w:pStyle w:val="15"/>
            </w:pPr>
            <w:r>
              <w:t>9.38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8.45</w:t>
            </w:r>
          </w:p>
        </w:tc>
        <w:tc>
          <w:tcPr>
            <w:tcW w:w="1134" w:type="dxa"/>
            <w:vAlign w:val="center"/>
          </w:tcPr>
          <w:p>
            <w:pPr>
              <w:pStyle w:val="15"/>
            </w:pPr>
            <w:r>
              <w:t>8.45</w:t>
            </w:r>
          </w:p>
        </w:tc>
        <w:tc>
          <w:tcPr>
            <w:tcW w:w="1134" w:type="dxa"/>
            <w:vAlign w:val="center"/>
          </w:tcPr>
          <w:p>
            <w:pPr>
              <w:pStyle w:val="15"/>
            </w:pPr>
            <w:r>
              <w:t>8.45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8.45</w:t>
            </w:r>
          </w:p>
        </w:tc>
        <w:tc>
          <w:tcPr>
            <w:tcW w:w="1134" w:type="dxa"/>
            <w:vAlign w:val="center"/>
          </w:tcPr>
          <w:p>
            <w:pPr>
              <w:pStyle w:val="15"/>
            </w:pPr>
            <w:r>
              <w:t>8.45</w:t>
            </w:r>
          </w:p>
        </w:tc>
        <w:tc>
          <w:tcPr>
            <w:tcW w:w="1134" w:type="dxa"/>
            <w:vAlign w:val="center"/>
          </w:tcPr>
          <w:p>
            <w:pPr>
              <w:pStyle w:val="15"/>
            </w:pPr>
            <w:r>
              <w:t>8.45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8.45</w:t>
            </w:r>
          </w:p>
        </w:tc>
        <w:tc>
          <w:tcPr>
            <w:tcW w:w="1134" w:type="dxa"/>
            <w:vAlign w:val="center"/>
          </w:tcPr>
          <w:p>
            <w:pPr>
              <w:pStyle w:val="15"/>
            </w:pPr>
            <w:r>
              <w:t>8.45</w:t>
            </w:r>
          </w:p>
        </w:tc>
        <w:tc>
          <w:tcPr>
            <w:tcW w:w="1134" w:type="dxa"/>
            <w:vAlign w:val="center"/>
          </w:tcPr>
          <w:p>
            <w:pPr>
              <w:pStyle w:val="15"/>
            </w:pPr>
            <w:r>
              <w:t>8.45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410001成安县统计局机关</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226.11</w:t>
            </w:r>
          </w:p>
        </w:tc>
        <w:tc>
          <w:tcPr>
            <w:tcW w:w="1361" w:type="dxa"/>
            <w:vAlign w:val="center"/>
          </w:tcPr>
          <w:p>
            <w:pPr>
              <w:pStyle w:val="19"/>
            </w:pPr>
            <w:r>
              <w:t>226.11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177.31</w:t>
            </w:r>
          </w:p>
        </w:tc>
        <w:tc>
          <w:tcPr>
            <w:tcW w:w="1361" w:type="dxa"/>
            <w:vAlign w:val="center"/>
          </w:tcPr>
          <w:p>
            <w:pPr>
              <w:pStyle w:val="15"/>
            </w:pPr>
            <w:r>
              <w:t>177.31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20105</w:t>
            </w:r>
          </w:p>
        </w:tc>
        <w:tc>
          <w:tcPr>
            <w:tcW w:w="4535" w:type="dxa"/>
            <w:vAlign w:val="center"/>
          </w:tcPr>
          <w:p>
            <w:pPr>
              <w:pStyle w:val="16"/>
            </w:pPr>
            <w:r>
              <w:t>统计信息事务</w:t>
            </w:r>
          </w:p>
        </w:tc>
        <w:tc>
          <w:tcPr>
            <w:tcW w:w="1361" w:type="dxa"/>
            <w:vAlign w:val="center"/>
          </w:tcPr>
          <w:p>
            <w:pPr>
              <w:pStyle w:val="15"/>
            </w:pPr>
            <w:r>
              <w:t>177.31</w:t>
            </w:r>
          </w:p>
        </w:tc>
        <w:tc>
          <w:tcPr>
            <w:tcW w:w="1361" w:type="dxa"/>
            <w:vAlign w:val="center"/>
          </w:tcPr>
          <w:p>
            <w:pPr>
              <w:pStyle w:val="15"/>
            </w:pPr>
            <w:r>
              <w:t>177.31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2010501</w:t>
            </w:r>
          </w:p>
        </w:tc>
        <w:tc>
          <w:tcPr>
            <w:tcW w:w="4535" w:type="dxa"/>
            <w:vAlign w:val="center"/>
          </w:tcPr>
          <w:p>
            <w:pPr>
              <w:pStyle w:val="16"/>
            </w:pPr>
            <w:r>
              <w:t>行政运行</w:t>
            </w:r>
          </w:p>
        </w:tc>
        <w:tc>
          <w:tcPr>
            <w:tcW w:w="1361" w:type="dxa"/>
            <w:vAlign w:val="center"/>
          </w:tcPr>
          <w:p>
            <w:pPr>
              <w:pStyle w:val="15"/>
            </w:pPr>
            <w:r>
              <w:t>177.31</w:t>
            </w:r>
          </w:p>
        </w:tc>
        <w:tc>
          <w:tcPr>
            <w:tcW w:w="1361" w:type="dxa"/>
            <w:vAlign w:val="center"/>
          </w:tcPr>
          <w:p>
            <w:pPr>
              <w:pStyle w:val="15"/>
            </w:pPr>
            <w:r>
              <w:t>177.31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27.71</w:t>
            </w:r>
          </w:p>
        </w:tc>
        <w:tc>
          <w:tcPr>
            <w:tcW w:w="1361" w:type="dxa"/>
            <w:vAlign w:val="center"/>
          </w:tcPr>
          <w:p>
            <w:pPr>
              <w:pStyle w:val="15"/>
            </w:pPr>
            <w:r>
              <w:t>27.71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27.71</w:t>
            </w:r>
          </w:p>
        </w:tc>
        <w:tc>
          <w:tcPr>
            <w:tcW w:w="1361" w:type="dxa"/>
            <w:vAlign w:val="center"/>
          </w:tcPr>
          <w:p>
            <w:pPr>
              <w:pStyle w:val="15"/>
            </w:pPr>
            <w:r>
              <w:t>27.71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18.33</w:t>
            </w:r>
          </w:p>
        </w:tc>
        <w:tc>
          <w:tcPr>
            <w:tcW w:w="1361" w:type="dxa"/>
            <w:vAlign w:val="center"/>
          </w:tcPr>
          <w:p>
            <w:pPr>
              <w:pStyle w:val="15"/>
            </w:pPr>
            <w:r>
              <w:t>18.33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9.38</w:t>
            </w:r>
          </w:p>
        </w:tc>
        <w:tc>
          <w:tcPr>
            <w:tcW w:w="1361" w:type="dxa"/>
            <w:vAlign w:val="center"/>
          </w:tcPr>
          <w:p>
            <w:pPr>
              <w:pStyle w:val="15"/>
            </w:pPr>
            <w:r>
              <w:t>9.38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8.45</w:t>
            </w:r>
          </w:p>
        </w:tc>
        <w:tc>
          <w:tcPr>
            <w:tcW w:w="1361" w:type="dxa"/>
            <w:vAlign w:val="center"/>
          </w:tcPr>
          <w:p>
            <w:pPr>
              <w:pStyle w:val="15"/>
            </w:pPr>
            <w:r>
              <w:t>8.45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8.45</w:t>
            </w:r>
          </w:p>
        </w:tc>
        <w:tc>
          <w:tcPr>
            <w:tcW w:w="1361" w:type="dxa"/>
            <w:vAlign w:val="center"/>
          </w:tcPr>
          <w:p>
            <w:pPr>
              <w:pStyle w:val="15"/>
            </w:pPr>
            <w:r>
              <w:t>8.45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8.45</w:t>
            </w:r>
          </w:p>
        </w:tc>
        <w:tc>
          <w:tcPr>
            <w:tcW w:w="1361" w:type="dxa"/>
            <w:vAlign w:val="center"/>
          </w:tcPr>
          <w:p>
            <w:pPr>
              <w:pStyle w:val="15"/>
            </w:pPr>
            <w:r>
              <w:t>8.45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12.64</w:t>
            </w:r>
          </w:p>
        </w:tc>
        <w:tc>
          <w:tcPr>
            <w:tcW w:w="1361" w:type="dxa"/>
            <w:vAlign w:val="center"/>
          </w:tcPr>
          <w:p>
            <w:pPr>
              <w:pStyle w:val="15"/>
            </w:pPr>
            <w:r>
              <w:t>12.64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12.64</w:t>
            </w:r>
          </w:p>
        </w:tc>
        <w:tc>
          <w:tcPr>
            <w:tcW w:w="1361" w:type="dxa"/>
            <w:vAlign w:val="center"/>
          </w:tcPr>
          <w:p>
            <w:pPr>
              <w:pStyle w:val="15"/>
            </w:pPr>
            <w:r>
              <w:t>12.64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12.64</w:t>
            </w:r>
          </w:p>
        </w:tc>
        <w:tc>
          <w:tcPr>
            <w:tcW w:w="1361" w:type="dxa"/>
            <w:vAlign w:val="center"/>
          </w:tcPr>
          <w:p>
            <w:pPr>
              <w:pStyle w:val="15"/>
            </w:pPr>
            <w:r>
              <w:t>12.64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410001成安县统计局机关</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226.11</w:t>
            </w:r>
          </w:p>
        </w:tc>
        <w:tc>
          <w:tcPr>
            <w:tcW w:w="3402" w:type="dxa"/>
            <w:vAlign w:val="center"/>
          </w:tcPr>
          <w:p>
            <w:pPr>
              <w:pStyle w:val="16"/>
            </w:pPr>
            <w:r>
              <w:t>一、一般公共服务支出</w:t>
            </w:r>
          </w:p>
        </w:tc>
        <w:tc>
          <w:tcPr>
            <w:tcW w:w="1474" w:type="dxa"/>
            <w:vAlign w:val="center"/>
          </w:tcPr>
          <w:p>
            <w:pPr>
              <w:pStyle w:val="15"/>
            </w:pPr>
            <w:r>
              <w:t>177.31</w:t>
            </w:r>
          </w:p>
        </w:tc>
        <w:tc>
          <w:tcPr>
            <w:tcW w:w="1474" w:type="dxa"/>
            <w:vAlign w:val="center"/>
          </w:tcPr>
          <w:p>
            <w:pPr>
              <w:pStyle w:val="15"/>
            </w:pPr>
            <w:r>
              <w:t>177.31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27.71</w:t>
            </w:r>
          </w:p>
        </w:tc>
        <w:tc>
          <w:tcPr>
            <w:tcW w:w="1474" w:type="dxa"/>
            <w:vAlign w:val="center"/>
          </w:tcPr>
          <w:p>
            <w:pPr>
              <w:pStyle w:val="15"/>
            </w:pPr>
            <w:r>
              <w:t>27.71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8.45</w:t>
            </w:r>
          </w:p>
        </w:tc>
        <w:tc>
          <w:tcPr>
            <w:tcW w:w="1474" w:type="dxa"/>
            <w:vAlign w:val="center"/>
          </w:tcPr>
          <w:p>
            <w:pPr>
              <w:pStyle w:val="15"/>
            </w:pPr>
            <w:r>
              <w:t>8.45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12.64</w:t>
            </w:r>
          </w:p>
        </w:tc>
        <w:tc>
          <w:tcPr>
            <w:tcW w:w="1474" w:type="dxa"/>
            <w:vAlign w:val="center"/>
          </w:tcPr>
          <w:p>
            <w:pPr>
              <w:pStyle w:val="15"/>
            </w:pPr>
            <w:r>
              <w:t>12.64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226.11</w:t>
            </w:r>
          </w:p>
        </w:tc>
        <w:tc>
          <w:tcPr>
            <w:tcW w:w="3402" w:type="dxa"/>
            <w:vAlign w:val="center"/>
          </w:tcPr>
          <w:p>
            <w:pPr>
              <w:pStyle w:val="18"/>
            </w:pPr>
            <w:r>
              <w:t>本年支出合计</w:t>
            </w:r>
          </w:p>
        </w:tc>
        <w:tc>
          <w:tcPr>
            <w:tcW w:w="1474" w:type="dxa"/>
            <w:vAlign w:val="center"/>
          </w:tcPr>
          <w:p>
            <w:pPr>
              <w:pStyle w:val="19"/>
            </w:pPr>
            <w:r>
              <w:t>226.11</w:t>
            </w:r>
          </w:p>
        </w:tc>
        <w:tc>
          <w:tcPr>
            <w:tcW w:w="1474" w:type="dxa"/>
            <w:vAlign w:val="center"/>
          </w:tcPr>
          <w:p>
            <w:pPr>
              <w:pStyle w:val="19"/>
            </w:pPr>
            <w:r>
              <w:t>226.11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226.11</w:t>
            </w:r>
          </w:p>
        </w:tc>
        <w:tc>
          <w:tcPr>
            <w:tcW w:w="3402" w:type="dxa"/>
            <w:vAlign w:val="center"/>
          </w:tcPr>
          <w:p>
            <w:pPr>
              <w:pStyle w:val="18"/>
            </w:pPr>
            <w:r>
              <w:t>支出总计</w:t>
            </w:r>
          </w:p>
        </w:tc>
        <w:tc>
          <w:tcPr>
            <w:tcW w:w="1474" w:type="dxa"/>
            <w:vAlign w:val="center"/>
          </w:tcPr>
          <w:p>
            <w:pPr>
              <w:pStyle w:val="19"/>
            </w:pPr>
            <w:r>
              <w:t>226.11</w:t>
            </w:r>
          </w:p>
        </w:tc>
        <w:tc>
          <w:tcPr>
            <w:tcW w:w="1474" w:type="dxa"/>
            <w:vAlign w:val="center"/>
          </w:tcPr>
          <w:p>
            <w:pPr>
              <w:pStyle w:val="19"/>
            </w:pPr>
            <w:r>
              <w:t>226.11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410001成安县统计局机关</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226.11</w:t>
            </w:r>
          </w:p>
        </w:tc>
        <w:tc>
          <w:tcPr>
            <w:tcW w:w="2551" w:type="dxa"/>
            <w:vAlign w:val="center"/>
          </w:tcPr>
          <w:p>
            <w:pPr>
              <w:pStyle w:val="19"/>
            </w:pPr>
            <w:r>
              <w:t>226.11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177.31</w:t>
            </w:r>
          </w:p>
        </w:tc>
        <w:tc>
          <w:tcPr>
            <w:tcW w:w="2551" w:type="dxa"/>
            <w:vAlign w:val="center"/>
          </w:tcPr>
          <w:p>
            <w:pPr>
              <w:pStyle w:val="15"/>
            </w:pPr>
            <w:r>
              <w:t>177.31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20105</w:t>
            </w:r>
          </w:p>
        </w:tc>
        <w:tc>
          <w:tcPr>
            <w:tcW w:w="4535" w:type="dxa"/>
            <w:vAlign w:val="center"/>
          </w:tcPr>
          <w:p>
            <w:pPr>
              <w:pStyle w:val="16"/>
            </w:pPr>
            <w:r>
              <w:t>统计信息事务</w:t>
            </w:r>
          </w:p>
        </w:tc>
        <w:tc>
          <w:tcPr>
            <w:tcW w:w="2551" w:type="dxa"/>
            <w:vAlign w:val="center"/>
          </w:tcPr>
          <w:p>
            <w:pPr>
              <w:pStyle w:val="15"/>
            </w:pPr>
            <w:r>
              <w:t>177.31</w:t>
            </w:r>
          </w:p>
        </w:tc>
        <w:tc>
          <w:tcPr>
            <w:tcW w:w="2551" w:type="dxa"/>
            <w:vAlign w:val="center"/>
          </w:tcPr>
          <w:p>
            <w:pPr>
              <w:pStyle w:val="15"/>
            </w:pPr>
            <w:r>
              <w:t>177.31</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2010501</w:t>
            </w:r>
          </w:p>
        </w:tc>
        <w:tc>
          <w:tcPr>
            <w:tcW w:w="4535" w:type="dxa"/>
            <w:vAlign w:val="center"/>
          </w:tcPr>
          <w:p>
            <w:pPr>
              <w:pStyle w:val="16"/>
            </w:pPr>
            <w:r>
              <w:t>行政运行</w:t>
            </w:r>
          </w:p>
        </w:tc>
        <w:tc>
          <w:tcPr>
            <w:tcW w:w="2551" w:type="dxa"/>
            <w:vAlign w:val="center"/>
          </w:tcPr>
          <w:p>
            <w:pPr>
              <w:pStyle w:val="15"/>
            </w:pPr>
            <w:r>
              <w:t>177.31</w:t>
            </w:r>
          </w:p>
        </w:tc>
        <w:tc>
          <w:tcPr>
            <w:tcW w:w="2551" w:type="dxa"/>
            <w:vAlign w:val="center"/>
          </w:tcPr>
          <w:p>
            <w:pPr>
              <w:pStyle w:val="15"/>
            </w:pPr>
            <w:r>
              <w:t>177.31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27.71</w:t>
            </w:r>
          </w:p>
        </w:tc>
        <w:tc>
          <w:tcPr>
            <w:tcW w:w="2551" w:type="dxa"/>
            <w:vAlign w:val="center"/>
          </w:tcPr>
          <w:p>
            <w:pPr>
              <w:pStyle w:val="15"/>
            </w:pPr>
            <w:r>
              <w:t>27.71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27.71</w:t>
            </w:r>
          </w:p>
        </w:tc>
        <w:tc>
          <w:tcPr>
            <w:tcW w:w="2551" w:type="dxa"/>
            <w:vAlign w:val="center"/>
          </w:tcPr>
          <w:p>
            <w:pPr>
              <w:pStyle w:val="15"/>
            </w:pPr>
            <w:r>
              <w:t>27.71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18.33</w:t>
            </w:r>
          </w:p>
        </w:tc>
        <w:tc>
          <w:tcPr>
            <w:tcW w:w="2551" w:type="dxa"/>
            <w:vAlign w:val="center"/>
          </w:tcPr>
          <w:p>
            <w:pPr>
              <w:pStyle w:val="15"/>
            </w:pPr>
            <w:r>
              <w:t>18.33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9.38</w:t>
            </w:r>
          </w:p>
        </w:tc>
        <w:tc>
          <w:tcPr>
            <w:tcW w:w="2551" w:type="dxa"/>
            <w:vAlign w:val="center"/>
          </w:tcPr>
          <w:p>
            <w:pPr>
              <w:pStyle w:val="15"/>
            </w:pPr>
            <w:r>
              <w:t>9.38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8.45</w:t>
            </w:r>
          </w:p>
        </w:tc>
        <w:tc>
          <w:tcPr>
            <w:tcW w:w="2551" w:type="dxa"/>
            <w:vAlign w:val="center"/>
          </w:tcPr>
          <w:p>
            <w:pPr>
              <w:pStyle w:val="15"/>
            </w:pPr>
            <w:r>
              <w:t>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8.45</w:t>
            </w:r>
          </w:p>
        </w:tc>
        <w:tc>
          <w:tcPr>
            <w:tcW w:w="2551" w:type="dxa"/>
            <w:vAlign w:val="center"/>
          </w:tcPr>
          <w:p>
            <w:pPr>
              <w:pStyle w:val="15"/>
            </w:pPr>
            <w:r>
              <w:t>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8.45</w:t>
            </w:r>
          </w:p>
        </w:tc>
        <w:tc>
          <w:tcPr>
            <w:tcW w:w="2551" w:type="dxa"/>
            <w:vAlign w:val="center"/>
          </w:tcPr>
          <w:p>
            <w:pPr>
              <w:pStyle w:val="15"/>
            </w:pPr>
            <w:r>
              <w:t>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12.64</w:t>
            </w:r>
          </w:p>
        </w:tc>
        <w:tc>
          <w:tcPr>
            <w:tcW w:w="2551" w:type="dxa"/>
            <w:vAlign w:val="center"/>
          </w:tcPr>
          <w:p>
            <w:pPr>
              <w:pStyle w:val="15"/>
            </w:pPr>
            <w:r>
              <w:t>12.64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12.64</w:t>
            </w:r>
          </w:p>
        </w:tc>
        <w:tc>
          <w:tcPr>
            <w:tcW w:w="2551" w:type="dxa"/>
            <w:vAlign w:val="center"/>
          </w:tcPr>
          <w:p>
            <w:pPr>
              <w:pStyle w:val="15"/>
            </w:pPr>
            <w:r>
              <w:t>12.64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12.64</w:t>
            </w:r>
          </w:p>
        </w:tc>
        <w:tc>
          <w:tcPr>
            <w:tcW w:w="2551" w:type="dxa"/>
            <w:vAlign w:val="center"/>
          </w:tcPr>
          <w:p>
            <w:pPr>
              <w:pStyle w:val="15"/>
            </w:pPr>
            <w:r>
              <w:t>12.64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410001成安县统计局机关</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226.11</w:t>
            </w:r>
          </w:p>
        </w:tc>
        <w:tc>
          <w:tcPr>
            <w:tcW w:w="2551" w:type="dxa"/>
            <w:vAlign w:val="center"/>
          </w:tcPr>
          <w:p>
            <w:pPr>
              <w:pStyle w:val="19"/>
            </w:pPr>
            <w:r>
              <w:t>195.55</w:t>
            </w:r>
          </w:p>
        </w:tc>
        <w:tc>
          <w:tcPr>
            <w:tcW w:w="2551" w:type="dxa"/>
            <w:vAlign w:val="center"/>
          </w:tcPr>
          <w:p>
            <w:pPr>
              <w:pStyle w:val="19"/>
            </w:pPr>
            <w:r>
              <w:t>30.56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195.55</w:t>
            </w:r>
          </w:p>
        </w:tc>
        <w:tc>
          <w:tcPr>
            <w:tcW w:w="2551" w:type="dxa"/>
            <w:vAlign w:val="center"/>
          </w:tcPr>
          <w:p>
            <w:pPr>
              <w:pStyle w:val="15"/>
            </w:pPr>
            <w:r>
              <w:t>195.55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126.97</w:t>
            </w:r>
          </w:p>
        </w:tc>
        <w:tc>
          <w:tcPr>
            <w:tcW w:w="2551" w:type="dxa"/>
            <w:vAlign w:val="center"/>
          </w:tcPr>
          <w:p>
            <w:pPr>
              <w:pStyle w:val="15"/>
            </w:pPr>
            <w:r>
              <w:t>126.97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9.86</w:t>
            </w:r>
          </w:p>
        </w:tc>
        <w:tc>
          <w:tcPr>
            <w:tcW w:w="2551" w:type="dxa"/>
            <w:vAlign w:val="center"/>
          </w:tcPr>
          <w:p>
            <w:pPr>
              <w:pStyle w:val="15"/>
            </w:pPr>
            <w:r>
              <w:t>9.86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4.71</w:t>
            </w:r>
          </w:p>
        </w:tc>
        <w:tc>
          <w:tcPr>
            <w:tcW w:w="2551" w:type="dxa"/>
            <w:vAlign w:val="center"/>
          </w:tcPr>
          <w:p>
            <w:pPr>
              <w:pStyle w:val="15"/>
            </w:pPr>
            <w:r>
              <w:t>4.71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4.61</w:t>
            </w:r>
          </w:p>
        </w:tc>
        <w:tc>
          <w:tcPr>
            <w:tcW w:w="2551" w:type="dxa"/>
            <w:vAlign w:val="center"/>
          </w:tcPr>
          <w:p>
            <w:pPr>
              <w:pStyle w:val="15"/>
            </w:pPr>
            <w:r>
              <w:t>4.61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18.33</w:t>
            </w:r>
          </w:p>
        </w:tc>
        <w:tc>
          <w:tcPr>
            <w:tcW w:w="2551" w:type="dxa"/>
            <w:vAlign w:val="center"/>
          </w:tcPr>
          <w:p>
            <w:pPr>
              <w:pStyle w:val="15"/>
            </w:pPr>
            <w:r>
              <w:t>18.33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9.38</w:t>
            </w:r>
          </w:p>
        </w:tc>
        <w:tc>
          <w:tcPr>
            <w:tcW w:w="2551" w:type="dxa"/>
            <w:vAlign w:val="center"/>
          </w:tcPr>
          <w:p>
            <w:pPr>
              <w:pStyle w:val="15"/>
            </w:pPr>
            <w:r>
              <w:t>9.38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8.45</w:t>
            </w:r>
          </w:p>
        </w:tc>
        <w:tc>
          <w:tcPr>
            <w:tcW w:w="2551" w:type="dxa"/>
            <w:vAlign w:val="center"/>
          </w:tcPr>
          <w:p>
            <w:pPr>
              <w:pStyle w:val="15"/>
            </w:pPr>
            <w:r>
              <w:t>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0.60</w:t>
            </w:r>
          </w:p>
        </w:tc>
        <w:tc>
          <w:tcPr>
            <w:tcW w:w="2551" w:type="dxa"/>
            <w:vAlign w:val="center"/>
          </w:tcPr>
          <w:p>
            <w:pPr>
              <w:pStyle w:val="15"/>
            </w:pPr>
            <w:r>
              <w:t>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12.64</w:t>
            </w:r>
          </w:p>
        </w:tc>
        <w:tc>
          <w:tcPr>
            <w:tcW w:w="2551" w:type="dxa"/>
            <w:vAlign w:val="center"/>
          </w:tcPr>
          <w:p>
            <w:pPr>
              <w:pStyle w:val="15"/>
            </w:pPr>
            <w:r>
              <w:t>12.64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30.56</w:t>
            </w:r>
          </w:p>
        </w:tc>
        <w:tc>
          <w:tcPr>
            <w:tcW w:w="2551" w:type="dxa"/>
            <w:vAlign w:val="center"/>
          </w:tcPr>
          <w:p>
            <w:pPr>
              <w:pStyle w:val="15"/>
            </w:pPr>
          </w:p>
        </w:tc>
        <w:tc>
          <w:tcPr>
            <w:tcW w:w="2551" w:type="dxa"/>
            <w:vAlign w:val="center"/>
          </w:tcPr>
          <w:p>
            <w:pPr>
              <w:pStyle w:val="15"/>
            </w:pPr>
            <w:r>
              <w:t>30.56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16.70</w:t>
            </w:r>
          </w:p>
        </w:tc>
        <w:tc>
          <w:tcPr>
            <w:tcW w:w="2551" w:type="dxa"/>
            <w:vAlign w:val="center"/>
          </w:tcPr>
          <w:p>
            <w:pPr>
              <w:pStyle w:val="15"/>
            </w:pPr>
          </w:p>
        </w:tc>
        <w:tc>
          <w:tcPr>
            <w:tcW w:w="2551" w:type="dxa"/>
            <w:vAlign w:val="center"/>
          </w:tcPr>
          <w:p>
            <w:pPr>
              <w:pStyle w:val="15"/>
            </w:pPr>
            <w:r>
              <w:t>16.70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6.36</w:t>
            </w:r>
          </w:p>
        </w:tc>
        <w:tc>
          <w:tcPr>
            <w:tcW w:w="2551" w:type="dxa"/>
            <w:vAlign w:val="center"/>
          </w:tcPr>
          <w:p>
            <w:pPr>
              <w:pStyle w:val="15"/>
            </w:pPr>
          </w:p>
        </w:tc>
        <w:tc>
          <w:tcPr>
            <w:tcW w:w="2551" w:type="dxa"/>
            <w:vAlign w:val="center"/>
          </w:tcPr>
          <w:p>
            <w:pPr>
              <w:pStyle w:val="15"/>
            </w:pPr>
            <w:r>
              <w:t>6.36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410001成安县统计局机关</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410001成安县统计局机关</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410001成安县统计局机关</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成安县统计局机关2022年单位预算信息公开情况说明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、《地方预决算公开操作规程》和《关于进一步推进预算公开工作的实施意见》规定，现将成安县统计局机关2022年单位预算公开如下：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hint="eastAsia" w:cs="方正楷体_GBK" w:asciiTheme="minorEastAsia" w:hAnsiTheme="minorEastAsia" w:eastAsiaTheme="minorEastAsia"/>
          <w:b/>
          <w:color w:val="000000"/>
          <w:sz w:val="32"/>
          <w:lang w:eastAsia="zh-CN"/>
        </w:rPr>
        <w:t>单位</w:t>
      </w:r>
      <w:r>
        <w:rPr>
          <w:rFonts w:ascii="方正楷体_GBK" w:hAnsi="方正楷体_GBK" w:eastAsia="方正楷体_GBK" w:cs="方正楷体_GBK"/>
          <w:b/>
          <w:color w:val="000000"/>
          <w:sz w:val="32"/>
        </w:rPr>
        <w:t>职责：</w:t>
      </w:r>
    </w:p>
    <w:p>
      <w:pPr>
        <w:ind w:firstLine="640" w:firstLineChars="200"/>
        <w:rPr>
          <w:rFonts w:ascii="仿宋" w:hAnsi="仿宋" w:eastAsia="仿宋"/>
          <w:sz w:val="32"/>
          <w:szCs w:val="32"/>
        </w:rPr>
      </w:pPr>
      <w:r>
        <w:rPr>
          <w:rFonts w:hint="eastAsia" w:ascii="仿宋" w:hAnsi="仿宋" w:eastAsia="仿宋"/>
          <w:sz w:val="32"/>
          <w:szCs w:val="32"/>
        </w:rPr>
        <w:t>1、依照国家和省有关法律、法规和政策、计划，制订并实施统计工作规章和统计调查计划；组织领导和监督检查县内各乡镇、各部门统计和国民经济核算工作，监督检查统计法律、法规实施情况。</w:t>
      </w:r>
    </w:p>
    <w:p>
      <w:pPr>
        <w:ind w:firstLine="640" w:firstLineChars="200"/>
        <w:rPr>
          <w:rFonts w:ascii="仿宋" w:hAnsi="仿宋" w:eastAsia="仿宋"/>
          <w:sz w:val="32"/>
          <w:szCs w:val="32"/>
        </w:rPr>
      </w:pPr>
      <w:r>
        <w:rPr>
          <w:rFonts w:hint="eastAsia" w:ascii="仿宋" w:hAnsi="仿宋" w:eastAsia="仿宋"/>
          <w:sz w:val="32"/>
          <w:szCs w:val="32"/>
        </w:rPr>
        <w:t>2、贯彻执行国家和省国民经济核算体系、统计指标体系和基本统计制度；组织、协调全县统计工作和国民经济核算工作；统一组织、管理全县统计报表工作。</w:t>
      </w:r>
    </w:p>
    <w:p>
      <w:pPr>
        <w:ind w:firstLine="640" w:firstLineChars="200"/>
        <w:rPr>
          <w:rFonts w:ascii="仿宋" w:hAnsi="仿宋" w:eastAsia="仿宋"/>
          <w:sz w:val="32"/>
          <w:szCs w:val="32"/>
        </w:rPr>
      </w:pPr>
      <w:r>
        <w:rPr>
          <w:rFonts w:hint="eastAsia" w:ascii="仿宋" w:hAnsi="仿宋" w:eastAsia="仿宋"/>
          <w:sz w:val="32"/>
          <w:szCs w:val="32"/>
        </w:rPr>
        <w:t>3、汇总、整理全县基本统计资料；对国民经济、社会发展情况统计分析、预测、监督和考核，向县委、县政府及有关部门提供统计信息和咨询建议。</w:t>
      </w:r>
    </w:p>
    <w:p>
      <w:pPr>
        <w:ind w:firstLine="640" w:firstLineChars="200"/>
        <w:rPr>
          <w:rFonts w:ascii="仿宋" w:hAnsi="仿宋" w:eastAsia="仿宋"/>
          <w:sz w:val="32"/>
          <w:szCs w:val="32"/>
        </w:rPr>
      </w:pPr>
      <w:r>
        <w:rPr>
          <w:rFonts w:hint="eastAsia" w:ascii="仿宋" w:hAnsi="仿宋" w:eastAsia="仿宋"/>
          <w:sz w:val="32"/>
          <w:szCs w:val="32"/>
        </w:rPr>
        <w:t>4、统一核定、管理、公布、出版全县的基本统计资料，定期发布全县国民经济和社会发展情况的统计信息。</w:t>
      </w:r>
    </w:p>
    <w:p>
      <w:pPr>
        <w:ind w:firstLine="640" w:firstLineChars="200"/>
        <w:rPr>
          <w:rFonts w:ascii="仿宋" w:hAnsi="仿宋" w:eastAsia="仿宋"/>
          <w:sz w:val="32"/>
          <w:szCs w:val="32"/>
        </w:rPr>
      </w:pPr>
      <w:r>
        <w:rPr>
          <w:rFonts w:hint="eastAsia" w:ascii="仿宋" w:hAnsi="仿宋" w:eastAsia="仿宋"/>
          <w:sz w:val="32"/>
          <w:szCs w:val="32"/>
        </w:rPr>
        <w:t>5、组织管理统计人员持证上岗及培训教育，协调有关部门组织管理统计专业考试工作。</w:t>
      </w:r>
    </w:p>
    <w:p>
      <w:pPr>
        <w:ind w:firstLine="640" w:firstLineChars="200"/>
        <w:rPr>
          <w:rFonts w:ascii="仿宋" w:hAnsi="仿宋" w:eastAsia="仿宋"/>
          <w:sz w:val="32"/>
          <w:szCs w:val="32"/>
        </w:rPr>
      </w:pPr>
      <w:r>
        <w:rPr>
          <w:rFonts w:hint="eastAsia" w:ascii="仿宋" w:hAnsi="仿宋" w:eastAsia="仿宋"/>
          <w:sz w:val="32"/>
          <w:szCs w:val="32"/>
        </w:rPr>
        <w:t>6、负责全县各部门各单位统计工作业务指导，开展统计工作和统计科学的学术交流合作。</w:t>
      </w:r>
    </w:p>
    <w:p>
      <w:pPr>
        <w:ind w:firstLine="640" w:firstLineChars="200"/>
        <w:rPr>
          <w:rFonts w:ascii="仿宋" w:hAnsi="仿宋" w:eastAsia="仿宋"/>
          <w:sz w:val="32"/>
          <w:szCs w:val="32"/>
        </w:rPr>
      </w:pPr>
      <w:r>
        <w:rPr>
          <w:rFonts w:hint="eastAsia" w:ascii="仿宋" w:hAnsi="仿宋" w:eastAsia="仿宋"/>
          <w:sz w:val="32"/>
          <w:szCs w:val="32"/>
        </w:rPr>
        <w:t>7、组织完成国家和省、市部署的普查任务；组织协调各乡镇、各部门社会经济调查。</w:t>
      </w:r>
    </w:p>
    <w:p>
      <w:pPr>
        <w:ind w:firstLine="640" w:firstLineChars="200"/>
        <w:rPr>
          <w:rFonts w:ascii="仿宋" w:hAnsi="仿宋" w:eastAsia="仿宋"/>
          <w:sz w:val="32"/>
          <w:szCs w:val="32"/>
        </w:rPr>
      </w:pPr>
      <w:r>
        <w:rPr>
          <w:rFonts w:hint="eastAsia" w:ascii="仿宋" w:hAnsi="仿宋" w:eastAsia="仿宋"/>
          <w:sz w:val="32"/>
          <w:szCs w:val="32"/>
        </w:rPr>
        <w:t>8、执行上级统计部门制定的能源统计制度，组织好全县的能源统计核算工作。</w:t>
      </w:r>
    </w:p>
    <w:p>
      <w:pPr>
        <w:spacing w:line="360" w:lineRule="auto"/>
        <w:ind w:firstLine="627" w:firstLineChars="196"/>
        <w:rPr>
          <w:rFonts w:ascii="仿宋" w:hAnsi="仿宋" w:eastAsia="仿宋"/>
          <w:sz w:val="32"/>
          <w:szCs w:val="32"/>
        </w:rPr>
      </w:pPr>
      <w:r>
        <w:rPr>
          <w:rFonts w:hint="eastAsia" w:ascii="仿宋" w:hAnsi="仿宋" w:eastAsia="仿宋"/>
          <w:sz w:val="32"/>
          <w:szCs w:val="32"/>
        </w:rPr>
        <w:t>9、承办县委、县政府</w:t>
      </w:r>
      <w:bookmarkStart w:id="1" w:name="_GoBack"/>
      <w:bookmarkEnd w:id="1"/>
      <w:r>
        <w:rPr>
          <w:rFonts w:hint="eastAsia" w:ascii="仿宋" w:hAnsi="仿宋" w:eastAsia="仿宋"/>
          <w:sz w:val="32"/>
          <w:szCs w:val="32"/>
        </w:rPr>
        <w:t>交办的其它事项，承办县人</w:t>
      </w:r>
      <w:r>
        <w:rPr>
          <w:rFonts w:hint="eastAsia" w:ascii="仿宋" w:hAnsi="仿宋" w:eastAsia="仿宋"/>
          <w:sz w:val="32"/>
          <w:szCs w:val="32"/>
          <w:lang w:eastAsia="zh-CN"/>
        </w:rPr>
        <w:t>大</w:t>
      </w:r>
      <w:r>
        <w:rPr>
          <w:rFonts w:hint="eastAsia" w:ascii="仿宋" w:hAnsi="仿宋" w:eastAsia="仿宋"/>
          <w:sz w:val="32"/>
          <w:szCs w:val="32"/>
        </w:rPr>
        <w:t>、政协建议、提案事宜。</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人员编制18名，其中领导职数4个。</w:t>
      </w:r>
    </w:p>
    <w:p>
      <w:pPr>
        <w:ind w:firstLine="640" w:firstLineChars="200"/>
        <w:rPr>
          <w:rFonts w:ascii="仿宋" w:hAnsi="仿宋" w:eastAsia="仿宋"/>
          <w:sz w:val="32"/>
          <w:szCs w:val="32"/>
        </w:rPr>
      </w:pPr>
      <w:r>
        <w:rPr>
          <w:rFonts w:hint="eastAsia" w:ascii="仿宋" w:hAnsi="仿宋" w:eastAsia="仿宋"/>
          <w:sz w:val="32"/>
          <w:szCs w:val="32"/>
        </w:rPr>
        <w:t>成安县统计局设置2个内设机构。</w:t>
      </w:r>
    </w:p>
    <w:p>
      <w:pPr>
        <w:ind w:firstLine="643" w:firstLineChars="200"/>
        <w:rPr>
          <w:rFonts w:ascii="仿宋" w:hAnsi="仿宋" w:eastAsia="仿宋"/>
          <w:b/>
          <w:sz w:val="32"/>
          <w:szCs w:val="32"/>
        </w:rPr>
      </w:pPr>
      <w:r>
        <w:rPr>
          <w:rFonts w:hint="eastAsia" w:ascii="仿宋" w:hAnsi="仿宋" w:eastAsia="仿宋"/>
          <w:b/>
          <w:sz w:val="32"/>
          <w:szCs w:val="32"/>
        </w:rPr>
        <w:t>1、办公室</w:t>
      </w:r>
    </w:p>
    <w:p>
      <w:pPr>
        <w:ind w:firstLine="640" w:firstLineChars="200"/>
        <w:rPr>
          <w:rFonts w:ascii="仿宋" w:hAnsi="仿宋" w:eastAsia="仿宋"/>
          <w:sz w:val="32"/>
          <w:szCs w:val="32"/>
        </w:rPr>
      </w:pPr>
      <w:r>
        <w:rPr>
          <w:rFonts w:hint="eastAsia" w:ascii="仿宋" w:hAnsi="仿宋" w:eastAsia="仿宋"/>
          <w:sz w:val="32"/>
          <w:szCs w:val="32"/>
        </w:rPr>
        <w:t>协调机关政务工作，负责文秘、机要、档案等工作，管理机关财务和国有资产，负责机关后勤保障及接待服务等工作;负责国民经济核算、信息、统计培训、人事职称、和统计执法检查等统计制度的组织和实施，搜集整理和提供统计数据，检查评估统计数据，进行统计分析，负责对全县社会发展和经济运行情况进行分析，定期公布全县经济指标完成情况。</w:t>
      </w:r>
    </w:p>
    <w:p>
      <w:pPr>
        <w:ind w:firstLine="643" w:firstLineChars="200"/>
        <w:rPr>
          <w:rFonts w:ascii="仿宋" w:hAnsi="仿宋" w:eastAsia="仿宋"/>
          <w:b/>
          <w:sz w:val="32"/>
          <w:szCs w:val="32"/>
        </w:rPr>
      </w:pPr>
      <w:r>
        <w:rPr>
          <w:rFonts w:hint="eastAsia" w:ascii="仿宋" w:hAnsi="仿宋" w:eastAsia="仿宋"/>
          <w:b/>
          <w:sz w:val="32"/>
          <w:szCs w:val="32"/>
        </w:rPr>
        <w:t>2、业务综合股</w:t>
      </w:r>
    </w:p>
    <w:p>
      <w:pPr>
        <w:ind w:firstLine="640" w:firstLineChars="200"/>
        <w:rPr>
          <w:rFonts w:ascii="仿宋" w:hAnsi="仿宋" w:eastAsia="仿宋"/>
          <w:sz w:val="32"/>
          <w:szCs w:val="32"/>
        </w:rPr>
      </w:pPr>
      <w:r>
        <w:rPr>
          <w:rFonts w:hint="eastAsia" w:ascii="仿宋" w:hAnsi="仿宋" w:eastAsia="仿宋"/>
          <w:sz w:val="32"/>
          <w:szCs w:val="32"/>
        </w:rPr>
        <w:t>负责组织实施国家和省、市的工业、建筑业、能源、投资、房地产等统计制度，搜集、整理和调查统计数据，检查和评估统计数据质量，进行统计分析。</w:t>
      </w:r>
    </w:p>
    <w:p>
      <w:pPr>
        <w:pStyle w:val="21"/>
        <w:rPr>
          <w:lang w:eastAsia="zh-CN"/>
        </w:rPr>
      </w:pPr>
      <w:r>
        <w:rPr>
          <w:rFonts w:hint="eastAsia" w:ascii="仿宋" w:hAnsi="仿宋" w:eastAsia="仿宋"/>
          <w:sz w:val="32"/>
          <w:szCs w:val="32"/>
        </w:rPr>
        <w:t>负责组织实施国家和省、市的服务业、商业、外经、劳动工资、科技等统计制度，搜集、整理和调查统计数据，检查和评估统计数据质量，进行统计分析</w:t>
      </w:r>
      <w:r>
        <w:rPr>
          <w:rFonts w:hint="eastAsia" w:ascii="仿宋" w:hAnsi="仿宋" w:eastAsia="仿宋"/>
          <w:sz w:val="32"/>
          <w:szCs w:val="32"/>
          <w:lang w:eastAsia="zh-CN"/>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成安县统计局机关</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按照预算管理有关规定，目前我省部门预算的编制实行综合预算管理，即全部收入和支出都反映在预算中。成安县统计局机关及所属事业单位的收支包含在部门预算中。</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sz w:val="32"/>
          <w:szCs w:val="32"/>
        </w:rPr>
        <w:t>2022年预算收入</w:t>
      </w:r>
      <w:r>
        <w:rPr>
          <w:rFonts w:ascii="仿宋" w:hAnsi="仿宋" w:eastAsia="仿宋"/>
          <w:sz w:val="32"/>
          <w:szCs w:val="32"/>
        </w:rPr>
        <w:t>226.11</w:t>
      </w:r>
      <w:r>
        <w:rPr>
          <w:rFonts w:hint="eastAsia" w:ascii="仿宋" w:hAnsi="仿宋" w:eastAsia="仿宋"/>
          <w:sz w:val="32"/>
          <w:szCs w:val="32"/>
        </w:rPr>
        <w:t>万元，其中：一般公共预算收入</w:t>
      </w:r>
      <w:r>
        <w:rPr>
          <w:rFonts w:ascii="仿宋" w:hAnsi="仿宋" w:eastAsia="仿宋"/>
          <w:sz w:val="32"/>
          <w:szCs w:val="32"/>
        </w:rPr>
        <w:t>226.11</w:t>
      </w:r>
      <w:r>
        <w:rPr>
          <w:rFonts w:hint="eastAsia" w:ascii="仿宋" w:hAnsi="仿宋" w:eastAsia="仿宋"/>
          <w:sz w:val="32"/>
          <w:szCs w:val="32"/>
        </w:rPr>
        <w:t>万元，政府性基金收入0万元，国有资本经营收入0万元，事业收入0万元，其他收入0万元。</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60" w:lineRule="exact"/>
        <w:ind w:firstLine="640"/>
        <w:rPr>
          <w:rFonts w:ascii="仿宋" w:hAnsi="仿宋" w:eastAsia="仿宋"/>
          <w:sz w:val="32"/>
          <w:szCs w:val="32"/>
        </w:rPr>
      </w:pPr>
      <w:r>
        <w:rPr>
          <w:rFonts w:hint="eastAsia" w:ascii="仿宋" w:hAnsi="仿宋" w:eastAsia="仿宋"/>
          <w:sz w:val="32"/>
          <w:szCs w:val="32"/>
        </w:rPr>
        <w:t>2022年支出预算</w:t>
      </w:r>
      <w:r>
        <w:rPr>
          <w:rFonts w:ascii="仿宋" w:hAnsi="仿宋" w:eastAsia="仿宋"/>
          <w:sz w:val="32"/>
          <w:szCs w:val="32"/>
        </w:rPr>
        <w:t>226.11</w:t>
      </w:r>
      <w:r>
        <w:rPr>
          <w:rFonts w:hint="eastAsia" w:ascii="仿宋" w:hAnsi="仿宋" w:eastAsia="仿宋"/>
          <w:sz w:val="32"/>
          <w:szCs w:val="32"/>
        </w:rPr>
        <w:t>万元，其中基本支出</w:t>
      </w:r>
      <w:r>
        <w:rPr>
          <w:rFonts w:ascii="仿宋" w:hAnsi="仿宋" w:eastAsia="仿宋"/>
          <w:sz w:val="32"/>
          <w:szCs w:val="32"/>
        </w:rPr>
        <w:t>226.11</w:t>
      </w:r>
      <w:r>
        <w:rPr>
          <w:rFonts w:hint="eastAsia" w:ascii="仿宋" w:hAnsi="仿宋" w:eastAsia="仿宋"/>
          <w:sz w:val="32"/>
          <w:szCs w:val="32"/>
        </w:rPr>
        <w:t>万元，包括人员经费</w:t>
      </w:r>
      <w:r>
        <w:rPr>
          <w:rFonts w:ascii="仿宋" w:hAnsi="仿宋" w:eastAsia="仿宋"/>
          <w:sz w:val="32"/>
          <w:szCs w:val="32"/>
        </w:rPr>
        <w:t>195.55</w:t>
      </w:r>
      <w:r>
        <w:rPr>
          <w:rFonts w:hint="eastAsia" w:ascii="仿宋" w:hAnsi="仿宋" w:eastAsia="仿宋"/>
          <w:sz w:val="32"/>
          <w:szCs w:val="32"/>
        </w:rPr>
        <w:t>万元,公用经费</w:t>
      </w:r>
      <w:r>
        <w:rPr>
          <w:rFonts w:ascii="仿宋" w:hAnsi="仿宋" w:eastAsia="仿宋"/>
          <w:sz w:val="32"/>
          <w:szCs w:val="32"/>
        </w:rPr>
        <w:t>30.56</w:t>
      </w:r>
      <w:r>
        <w:rPr>
          <w:rFonts w:hint="eastAsia" w:ascii="仿宋" w:hAnsi="仿宋" w:eastAsia="仿宋"/>
          <w:sz w:val="32"/>
          <w:szCs w:val="32"/>
        </w:rPr>
        <w:t>万元。</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spacing w:line="560" w:lineRule="exact"/>
        <w:ind w:firstLine="640"/>
        <w:rPr>
          <w:rFonts w:ascii="仿宋" w:hAnsi="仿宋" w:eastAsia="仿宋" w:cs="仿宋"/>
          <w:bCs/>
          <w:sz w:val="32"/>
          <w:szCs w:val="32"/>
        </w:rPr>
      </w:pPr>
      <w:r>
        <w:rPr>
          <w:rFonts w:hint="eastAsia" w:ascii="仿宋" w:hAnsi="仿宋" w:eastAsia="仿宋" w:cs="仿宋"/>
          <w:bCs/>
          <w:sz w:val="32"/>
          <w:szCs w:val="32"/>
        </w:rPr>
        <w:t>2022年预算收支安排</w:t>
      </w:r>
      <w:r>
        <w:rPr>
          <w:rFonts w:ascii="仿宋" w:hAnsi="仿宋" w:eastAsia="仿宋" w:cs="仿宋"/>
          <w:bCs/>
          <w:sz w:val="32"/>
          <w:szCs w:val="32"/>
        </w:rPr>
        <w:t>226.11</w:t>
      </w:r>
      <w:r>
        <w:rPr>
          <w:rFonts w:hint="eastAsia" w:ascii="仿宋" w:hAnsi="仿宋" w:eastAsia="仿宋" w:cs="仿宋"/>
          <w:bCs/>
          <w:sz w:val="32"/>
          <w:szCs w:val="32"/>
        </w:rPr>
        <w:t>万元，2021年财政拨款收支为</w:t>
      </w:r>
      <w:r>
        <w:rPr>
          <w:rFonts w:ascii="仿宋" w:hAnsi="仿宋" w:eastAsia="仿宋" w:cs="仿宋"/>
          <w:bCs/>
          <w:sz w:val="32"/>
          <w:szCs w:val="32"/>
        </w:rPr>
        <w:t>278.81</w:t>
      </w:r>
      <w:r>
        <w:rPr>
          <w:rFonts w:hint="eastAsia" w:ascii="仿宋" w:hAnsi="仿宋" w:eastAsia="仿宋" w:cs="仿宋"/>
          <w:bCs/>
          <w:sz w:val="32"/>
          <w:szCs w:val="32"/>
        </w:rPr>
        <w:t>万元，比去年减少</w:t>
      </w:r>
      <w:r>
        <w:rPr>
          <w:rFonts w:ascii="仿宋" w:hAnsi="仿宋" w:eastAsia="仿宋" w:cs="仿宋"/>
          <w:bCs/>
          <w:sz w:val="32"/>
          <w:szCs w:val="32"/>
        </w:rPr>
        <w:t>52.7</w:t>
      </w:r>
      <w:r>
        <w:rPr>
          <w:rFonts w:hint="eastAsia" w:ascii="仿宋" w:hAnsi="仿宋" w:eastAsia="仿宋" w:cs="仿宋"/>
          <w:bCs/>
          <w:sz w:val="32"/>
          <w:szCs w:val="32"/>
        </w:rPr>
        <w:t>万元，原因为2021年是有项目支出。</w:t>
      </w:r>
    </w:p>
    <w:p>
      <w:pPr>
        <w:pStyle w:val="22"/>
      </w:pPr>
    </w:p>
    <w:p>
      <w:pPr>
        <w:spacing w:before="10" w:after="10" w:line="360" w:lineRule="auto"/>
        <w:ind w:firstLine="640"/>
        <w:outlineLvl w:val="2"/>
      </w:pPr>
      <w:r>
        <w:rPr>
          <w:rFonts w:ascii="黑体" w:hAnsi="黑体" w:eastAsia="黑体" w:cs="黑体"/>
          <w:color w:val="000000"/>
          <w:sz w:val="32"/>
        </w:rPr>
        <w:t>三、机关运行经费安排情况</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机关运行经费</w:t>
      </w:r>
      <w:r>
        <w:rPr>
          <w:rFonts w:ascii="仿宋" w:hAnsi="仿宋" w:eastAsia="仿宋"/>
          <w:bCs/>
          <w:sz w:val="32"/>
          <w:szCs w:val="32"/>
        </w:rPr>
        <w:t>30.56</w:t>
      </w:r>
      <w:r>
        <w:rPr>
          <w:rFonts w:hint="eastAsia" w:ascii="仿宋" w:hAnsi="仿宋" w:eastAsia="仿宋"/>
          <w:bCs/>
          <w:sz w:val="32"/>
          <w:szCs w:val="32"/>
        </w:rPr>
        <w:t>万元，主要用于办公区的日常运转的办公费、邮电费、公务用车维护费、公务交通补贴、印刷费、劳务费等日常运行支出。</w:t>
      </w:r>
    </w:p>
    <w:p>
      <w:pPr>
        <w:pStyle w:val="23"/>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line="560" w:lineRule="exact"/>
        <w:ind w:firstLine="640"/>
        <w:rPr>
          <w:rFonts w:ascii="仿宋_GB2312" w:hAnsi="仿宋_GB2312" w:eastAsia="仿宋_GB2312"/>
          <w:color w:val="000000"/>
          <w:sz w:val="32"/>
          <w:szCs w:val="32"/>
          <w:shd w:val="clear" w:color="auto" w:fill="FFFFFF"/>
        </w:rPr>
      </w:pPr>
      <w:r>
        <w:rPr>
          <w:rFonts w:hint="eastAsia" w:ascii="仿宋" w:hAnsi="仿宋" w:eastAsia="仿宋" w:cs="仿宋"/>
          <w:bCs/>
          <w:sz w:val="32"/>
          <w:szCs w:val="32"/>
        </w:rPr>
        <w:t>2022年，我单位“三公”经费预算安排0万元与上年持平，其中因公出国（境）费0万元；公务用车购置及运维费0万元（其中：公务用车购置费为0万元，公务用车运行费0万元)；公务接待费0万元；会议费0万；培训费0万。与2021年相比没有增减。</w:t>
      </w:r>
    </w:p>
    <w:p>
      <w:pPr>
        <w:pStyle w:val="24"/>
      </w:pP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完成全县年度数据的测算审核认定工作</w:t>
      </w:r>
      <w:r>
        <w:rPr>
          <w:rFonts w:ascii="仿宋" w:hAnsi="仿宋" w:eastAsia="仿宋" w:cs="仿宋"/>
          <w:bCs/>
          <w:sz w:val="32"/>
          <w:szCs w:val="32"/>
        </w:rPr>
        <w:t>;</w:t>
      </w:r>
      <w:r>
        <w:rPr>
          <w:rFonts w:hint="eastAsia" w:ascii="仿宋" w:hAnsi="仿宋" w:eastAsia="仿宋" w:cs="仿宋"/>
          <w:bCs/>
          <w:sz w:val="32"/>
          <w:szCs w:val="32"/>
        </w:rPr>
        <w:t xml:space="preserve">完成必要分析，对相关经济决策提供重要依据完成全县年度、季度数据及各市年度数据的测算审核认定工作 。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仿宋" w:hAnsi="仿宋" w:eastAsia="仿宋"/>
          <w:sz w:val="32"/>
        </w:rPr>
      </w:pPr>
      <w:r>
        <w:rPr>
          <w:sz w:val="28"/>
        </w:rPr>
        <w:t xml:space="preserve"> </w:t>
      </w:r>
      <w:r>
        <w:rPr>
          <w:rFonts w:hint="eastAsia"/>
          <w:sz w:val="28"/>
        </w:rPr>
        <w:t xml:space="preserve">   </w:t>
      </w:r>
      <w:r>
        <w:rPr>
          <w:rFonts w:hint="eastAsia" w:ascii="仿宋" w:hAnsi="仿宋" w:eastAsia="仿宋"/>
          <w:sz w:val="32"/>
        </w:rPr>
        <w:t>紧紧围绕县委、县政府重大决策部署和中心工作，进一步加强和改进统计工作，全力推进统计改革发展，坚持依法统计、依法治统，不断提高统计数据质量，着力提升统计服务质量和水平，为全县实现高质量发展提供优质统计服务，为新时代全面建设富强成安、美丽成安做出统计贡献。</w:t>
      </w:r>
    </w:p>
    <w:p>
      <w:pPr>
        <w:pStyle w:val="25"/>
      </w:pPr>
      <w:r>
        <w:rPr>
          <w:rFonts w:hint="eastAsia" w:ascii="仿宋" w:hAnsi="仿宋" w:eastAsia="仿宋"/>
          <w:sz w:val="32"/>
        </w:rPr>
        <w:t>我局2022年主要有四项重点工作，具体是：一是全县第七次人口普查当年工作完成率达到100%。二是全县专项统计调查工作完成率达到95%以上。三是全县统计专业技术资格考试完成率达到100%。四是开展统计执法检查、统计案件处理率至少达到90%。</w:t>
      </w:r>
    </w:p>
    <w:p>
      <w:pPr>
        <w:spacing w:line="500" w:lineRule="exact"/>
        <w:ind w:firstLine="560"/>
      </w:pPr>
      <w:r>
        <w:rPr>
          <w:rFonts w:eastAsia="方正仿宋_GBK"/>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hAnsi="仿宋" w:eastAsia="仿宋"/>
          <w:sz w:val="28"/>
        </w:rPr>
      </w:pPr>
      <w:r>
        <w:rPr>
          <w:rFonts w:hint="eastAsia" w:ascii="仿宋" w:hAnsi="仿宋" w:eastAsia="仿宋"/>
          <w:sz w:val="28"/>
        </w:rPr>
        <w:t>（1）</w:t>
      </w:r>
      <w:r>
        <w:rPr>
          <w:rFonts w:ascii="仿宋" w:hAnsi="仿宋" w:eastAsia="仿宋"/>
          <w:sz w:val="28"/>
        </w:rPr>
        <w:t>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sz w:val="32"/>
        </w:rPr>
      </w:pPr>
      <w:r>
        <w:rPr>
          <w:rFonts w:ascii="仿宋" w:hAnsi="仿宋" w:eastAsia="仿宋"/>
          <w:sz w:val="32"/>
        </w:rPr>
        <w:t>绩效目标：2022年全国人口普查工作将进入数据汇总和发布阶段。这一阶段重点做好数据处理、汇总、评估，发布主要数据公报，编辑出版文件汇编、画册、报告选编和论文汇编等资料，对文件、资料、出版物进行整理归档等；建立县、县各级人口普查相关数据库，全面更新覆盖全部普查小区和建筑物的人口地理信息系统，充实和完善统计电子地理信息系统；根据普查数据结果和部门履行职责的需求，普查相关数据依法在有关部门之间共享。</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sz w:val="32"/>
        </w:rPr>
      </w:pPr>
      <w:r>
        <w:rPr>
          <w:rFonts w:ascii="仿宋" w:hAnsi="仿宋" w:eastAsia="仿宋"/>
          <w:sz w:val="32"/>
        </w:rPr>
        <w:t>绩效指标：1.人口普查信息、调研报告受到县领导批示或被省统计局采用的数量至少达到六篇。2.人口普查数据在规定时限上报的比率至少达到90% 。3.人口普查当年工作完成率至少达到95%。4.人口普查对象了解度至少达到95%。5.人口普查对象满意度和政府部门认可度至少达到95%。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hAnsi="仿宋" w:eastAsia="仿宋"/>
          <w:sz w:val="28"/>
        </w:rPr>
      </w:pPr>
      <w:r>
        <w:rPr>
          <w:rFonts w:hint="eastAsia" w:ascii="仿宋" w:hAnsi="仿宋" w:eastAsia="仿宋"/>
          <w:sz w:val="28"/>
        </w:rPr>
        <w:t>（2）</w:t>
      </w:r>
      <w:r>
        <w:rPr>
          <w:rFonts w:ascii="仿宋" w:hAnsi="仿宋" w:eastAsia="仿宋"/>
          <w:sz w:val="28"/>
        </w:rPr>
        <w:t>专项统计调查绩效目标</w:t>
      </w:r>
    </w:p>
    <w:p>
      <w:pPr>
        <w:pStyle w:val="3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olor w:val="444444"/>
          <w:sz w:val="32"/>
          <w:lang w:eastAsia="zh-CN"/>
        </w:rPr>
      </w:pPr>
      <w:r>
        <w:rPr>
          <w:rFonts w:ascii="仿宋" w:hAnsi="仿宋" w:eastAsia="仿宋"/>
          <w:sz w:val="32"/>
          <w:lang w:eastAsia="zh-CN"/>
        </w:rPr>
        <w:t>绩效目标：</w:t>
      </w:r>
      <w:r>
        <w:rPr>
          <w:rFonts w:ascii="仿宋" w:hAnsi="仿宋" w:eastAsia="仿宋"/>
          <w:color w:val="444444"/>
          <w:sz w:val="32"/>
          <w:lang w:eastAsia="zh-CN"/>
        </w:rPr>
        <w:t>组织实施全县核算全县及各</w:t>
      </w:r>
      <w:r>
        <w:rPr>
          <w:rFonts w:hint="eastAsia" w:ascii="仿宋" w:hAnsi="仿宋" w:eastAsia="仿宋"/>
          <w:color w:val="444444"/>
          <w:sz w:val="32"/>
          <w:lang w:eastAsia="zh-CN"/>
        </w:rPr>
        <w:t>乡镇</w:t>
      </w:r>
      <w:r>
        <w:rPr>
          <w:rFonts w:ascii="仿宋" w:hAnsi="仿宋" w:eastAsia="仿宋"/>
          <w:color w:val="444444"/>
          <w:sz w:val="32"/>
          <w:lang w:eastAsia="zh-CN"/>
        </w:rPr>
        <w:t>生产总值及派生产业增加值、农林牧渔业、工业、建筑业、批发和零售业、房地产、服务业及能源、投资、消费、人口和城镇化率、劳动工资、就业、科技、城县基本情况、县乡村三级社会经济基本情况、资源环境、战略性新兴产业、社情民意调查、民营经济等统计调查，收集、汇总、整理和提供统计数据。统一核定、管理、公布全县性基本统计资料，</w:t>
      </w:r>
      <w:r>
        <w:rPr>
          <w:rFonts w:ascii="仿宋" w:hAnsi="仿宋" w:eastAsia="仿宋"/>
          <w:sz w:val="32"/>
          <w:lang w:eastAsia="zh-CN"/>
        </w:rPr>
        <w:t>了解基层情况和动态。</w:t>
      </w:r>
      <w:r>
        <w:rPr>
          <w:rFonts w:ascii="仿宋" w:hAnsi="仿宋" w:eastAsia="仿宋"/>
          <w:color w:val="444444"/>
          <w:sz w:val="32"/>
          <w:lang w:eastAsia="zh-CN"/>
        </w:rPr>
        <w:t>印刷《</w:t>
      </w:r>
      <w:r>
        <w:rPr>
          <w:rFonts w:hint="eastAsia" w:ascii="仿宋" w:hAnsi="仿宋" w:eastAsia="仿宋"/>
          <w:color w:val="444444"/>
          <w:sz w:val="32"/>
          <w:lang w:eastAsia="zh-CN"/>
        </w:rPr>
        <w:t>成安</w:t>
      </w:r>
      <w:r>
        <w:rPr>
          <w:rFonts w:ascii="仿宋" w:hAnsi="仿宋" w:eastAsia="仿宋"/>
          <w:color w:val="444444"/>
          <w:sz w:val="32"/>
          <w:lang w:eastAsia="zh-CN"/>
        </w:rPr>
        <w:t>统计年鉴》、《统计月报》等刊物。开展对统计数据质量的检查和评估。进行统计分析、统计预测和统计监督，向县委、县政府及有关部门提供统计信息和咨询建议，定期发布全县国民经济和社会发展情况的统计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sz w:val="32"/>
        </w:rPr>
      </w:pPr>
      <w:r>
        <w:rPr>
          <w:rFonts w:ascii="仿宋" w:hAnsi="仿宋" w:eastAsia="仿宋"/>
          <w:color w:val="444444"/>
          <w:sz w:val="32"/>
        </w:rPr>
        <w:t>绩效指标：1.</w:t>
      </w:r>
      <w:r>
        <w:t xml:space="preserve"> </w:t>
      </w:r>
      <w:r>
        <w:rPr>
          <w:rFonts w:ascii="仿宋" w:hAnsi="仿宋" w:eastAsia="仿宋"/>
          <w:color w:val="444444"/>
          <w:sz w:val="32"/>
        </w:rPr>
        <w:t>统计信息、调研报告受到县领导批示或被省统计局采用的数量</w:t>
      </w:r>
      <w:r>
        <w:rPr>
          <w:rFonts w:ascii="仿宋" w:hAnsi="仿宋" w:eastAsia="仿宋"/>
          <w:sz w:val="32"/>
        </w:rPr>
        <w:t>至少六篇。2.统计调查数据上报及时率至少达到95% 。3.</w:t>
      </w:r>
      <w:r>
        <w:t xml:space="preserve"> </w:t>
      </w:r>
      <w:r>
        <w:rPr>
          <w:rFonts w:ascii="仿宋" w:hAnsi="仿宋" w:eastAsia="仿宋"/>
          <w:sz w:val="32"/>
        </w:rPr>
        <w:t>各类专项统计调查任务的完成程度至少达到95% 。4.统计调查对象了解度至少达到95%。5.统计调查对象满意度和政府部门认可度至少达到95%。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700" w:firstLineChars="250"/>
        <w:rPr>
          <w:sz w:val="28"/>
        </w:rPr>
      </w:pPr>
      <w:r>
        <w:rPr>
          <w:rFonts w:hint="eastAsia" w:ascii="仿宋" w:hAnsi="仿宋" w:eastAsia="仿宋"/>
          <w:sz w:val="28"/>
        </w:rPr>
        <w:t>（3）</w:t>
      </w:r>
      <w:r>
        <w:rPr>
          <w:rFonts w:ascii="新宋体" w:hAnsi="新宋体" w:eastAsia="新宋体"/>
          <w:sz w:val="28"/>
        </w:rPr>
        <w:t>全县统计专业技术人员职称资格考试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绩效目标：县统计局和县人社局组织邯郸辖区的统计职称考试。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绩效指标：1. 全县统计专业技术人员进行职称资格考试完成情况至少达到95%。2. 职称考试完成时间应按规定在10月份完成。3. 在邯郸考区参加考试的考生数量至少达到200人。4.考生对职称考试的了解程度至少达到95%。5.</w:t>
      </w:r>
      <w:r>
        <w:t xml:space="preserve"> </w:t>
      </w:r>
      <w:r>
        <w:rPr>
          <w:rFonts w:ascii="仿宋" w:hAnsi="仿宋" w:eastAsia="仿宋"/>
          <w:sz w:val="32"/>
        </w:rPr>
        <w:t>政府相关部门对职称考试组织情况的认可程度至少达到95%。6.</w:t>
      </w:r>
      <w:r>
        <w:t xml:space="preserve"> </w:t>
      </w:r>
      <w:r>
        <w:rPr>
          <w:rFonts w:ascii="仿宋" w:hAnsi="仿宋" w:eastAsia="仿宋"/>
          <w:sz w:val="32"/>
        </w:rPr>
        <w:t>考生对职称考试组织情况的认可程度至少达到95%。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firstLineChars="200"/>
        <w:rPr>
          <w:rFonts w:ascii="新宋体" w:hAnsi="新宋体" w:eastAsia="新宋体"/>
          <w:sz w:val="28"/>
        </w:rPr>
      </w:pPr>
      <w:r>
        <w:rPr>
          <w:rFonts w:hint="eastAsia" w:ascii="仿宋" w:hAnsi="仿宋" w:eastAsia="仿宋"/>
          <w:sz w:val="28"/>
        </w:rPr>
        <w:t>（4）</w:t>
      </w:r>
      <w:r>
        <w:rPr>
          <w:rFonts w:ascii="新宋体" w:hAnsi="新宋体" w:eastAsia="新宋体"/>
          <w:sz w:val="28"/>
        </w:rPr>
        <w:t>统计执法检查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绩效目标：按照《中华人民共和国统计法》以及相关法律制度，开展统计执法检查，查处统计违法现象。</w:t>
      </w:r>
    </w:p>
    <w:p>
      <w:pPr>
        <w:pStyle w:val="26"/>
      </w:pPr>
      <w:r>
        <w:rPr>
          <w:rFonts w:ascii="仿宋" w:hAnsi="仿宋" w:eastAsia="仿宋"/>
          <w:sz w:val="32"/>
        </w:rPr>
        <w:t>绩效指标：1.</w:t>
      </w:r>
      <w:r>
        <w:t xml:space="preserve"> </w:t>
      </w:r>
      <w:r>
        <w:rPr>
          <w:rFonts w:ascii="仿宋" w:hAnsi="仿宋" w:eastAsia="仿宋"/>
          <w:sz w:val="32"/>
        </w:rPr>
        <w:t>统计案件处理率至少达到90%。2.</w:t>
      </w:r>
      <w:r>
        <w:t xml:space="preserve"> </w:t>
      </w:r>
      <w:r>
        <w:rPr>
          <w:rFonts w:ascii="仿宋" w:hAnsi="仿宋" w:eastAsia="仿宋"/>
          <w:sz w:val="32"/>
        </w:rPr>
        <w:t>在规定时间完成的执法案件占总的执法案件的总数至少达到90%。3.</w:t>
      </w:r>
      <w:r>
        <w:t xml:space="preserve"> </w:t>
      </w:r>
      <w:r>
        <w:rPr>
          <w:rFonts w:ascii="仿宋" w:hAnsi="仿宋" w:eastAsia="仿宋"/>
          <w:sz w:val="32"/>
        </w:rPr>
        <w:t>执法信息等统计信息、分析、课题受县领导或省统计局批示或被采用情况至少达到3篇。4.本级政府部门和上级部门对执法检查的满意度至少达到95%。</w:t>
      </w:r>
    </w:p>
    <w:p>
      <w:pPr>
        <w:spacing w:line="500" w:lineRule="exact"/>
        <w:ind w:firstLine="560"/>
      </w:pPr>
      <w:r>
        <w:rPr>
          <w:rFonts w:eastAsia="方正仿宋_GBK"/>
          <w:color w:val="000000"/>
          <w:sz w:val="28"/>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（1）</w:t>
      </w:r>
      <w:r>
        <w:rPr>
          <w:rFonts w:ascii="楷体" w:hAnsi="楷体" w:eastAsia="楷体"/>
          <w:sz w:val="32"/>
        </w:rPr>
        <w:t>完善制度建设，强化制度执行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认真执行《邯郸市统计局预算绩效管理办法》等绩效管理文件，深化全面实施预算绩效管理改革，研究制定配套的相关绩效管理制度，完善资金管理办法，在更大程度上提高资金绩效水平，为全年绩效目标的实现奠定坚实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（2）</w:t>
      </w:r>
      <w:r>
        <w:rPr>
          <w:rFonts w:ascii="楷体" w:hAnsi="楷体" w:eastAsia="楷体"/>
          <w:sz w:val="32"/>
        </w:rPr>
        <w:t>加强支出管理，提升支出进度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一是加强支出预算管理，编细编实预算，坚决防止无预算支出；二是优化支出结构，把有限的财政资金用在关键地方，充分发挥资金使用效益；三是及时申请拨付财政专项资金，尽快启动专项项目，加快实施进度，尽早进入验收、支付阶段；四是严格执行季度支出调度制度，做到基本支出和项目支出并重，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（3）</w:t>
      </w:r>
      <w:r>
        <w:rPr>
          <w:rFonts w:ascii="楷体" w:hAnsi="楷体" w:eastAsia="楷体"/>
          <w:sz w:val="32"/>
        </w:rPr>
        <w:t>加强绩效运行监控，确保绩效目标实现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按照《邯郸市统计局预算绩效运行监控工作规程》的文件要求，进一步加强和规范预算绩效运行监控工作，坚持目标导向、权责对等、全面覆盖、突出重点、适时适当的原则，及时完成对部门整体绩效目标、专项资金绩效目标和预算项目资金绩效目标的实现程度及预算资金执行情况监控到位，确保绩效目标如期保质保量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（4）</w:t>
      </w:r>
      <w:r>
        <w:rPr>
          <w:rFonts w:ascii="楷体" w:hAnsi="楷体" w:eastAsia="楷体"/>
          <w:sz w:val="32"/>
        </w:rPr>
        <w:t>做好绩效自评，完善自评流程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color w:val="000000"/>
          <w:sz w:val="32"/>
        </w:rPr>
      </w:pPr>
      <w:r>
        <w:rPr>
          <w:rFonts w:ascii="仿宋" w:hAnsi="仿宋" w:eastAsia="仿宋"/>
          <w:sz w:val="32"/>
        </w:rPr>
        <w:t>按要求开展上年度部门预算自评工作，</w:t>
      </w:r>
      <w:r>
        <w:rPr>
          <w:rFonts w:ascii="仿宋" w:hAnsi="仿宋" w:eastAsia="仿宋"/>
          <w:color w:val="000000"/>
          <w:sz w:val="32"/>
        </w:rPr>
        <w:t>着重对预算资金投向的精准性、安排使用的有效性、投入方式的科学性、产出效益的经济性等进行客观、公正的评价，科学设置评价内容，加强评价流程管理，确保评价依据充分有效，同时委托第三方对资金量大、社会关注度高、体现部门特色的项目开展重点评价，对评价中发现的问题及时整改，调整优化支出结构，提高财政资金使用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olor w:val="000000"/>
          <w:sz w:val="32"/>
        </w:rPr>
      </w:pPr>
      <w:r>
        <w:rPr>
          <w:rFonts w:hint="eastAsia" w:ascii="仿宋" w:hAnsi="仿宋" w:eastAsia="仿宋"/>
          <w:sz w:val="28"/>
        </w:rPr>
        <w:t>（5）</w:t>
      </w:r>
      <w:r>
        <w:rPr>
          <w:rFonts w:ascii="楷体" w:hAnsi="楷体" w:eastAsia="楷体"/>
          <w:color w:val="000000"/>
          <w:sz w:val="32"/>
        </w:rPr>
        <w:t>规范财务资产管理，保障资产安全完整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严格执行财政部门国有资产管理规定，明确资产管理机构，严格资产的采购、配置、维护、处置、出租、出借等管理程序，接受同级财政部门的监督、指导，不断规范资产管理，做到支出合理、物尽其用，严防国有资产流失，保障国有资产安全完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（6）</w:t>
      </w:r>
      <w:r>
        <w:rPr>
          <w:rFonts w:ascii="楷体" w:hAnsi="楷体" w:eastAsia="楷体"/>
          <w:sz w:val="32"/>
        </w:rPr>
        <w:t>加强内部监督，强化内控建设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不断完善我局内部控制制度，扩大内控范围，逐步形成一套以内控制度为核心、量化标准为支撑的规范化、科学化管理体系，进一步提高单位内部管理水平，规范内部控制，加强廉政风险防控机制建设，实现财务管理的规范化、科学化和信息化，保障单位各项工作高效运行，增强单位的履职能力。通过强化内控建设，进一步加强对绩效运行情况、重大支出决策、资产处置及其他重要经济业务事项的决策和执行进行督导，对会计资料进行内部审计，并配合做好审计、财政监督等外部监督工作，确保财政资金安全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（7）</w:t>
      </w:r>
      <w:r>
        <w:rPr>
          <w:rFonts w:ascii="楷体" w:hAnsi="楷体" w:eastAsia="楷体"/>
          <w:sz w:val="32"/>
        </w:rPr>
        <w:t>加强宣传培训，开展深入调研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b/>
          <w:sz w:val="32"/>
        </w:rPr>
      </w:pPr>
      <w:r>
        <w:rPr>
          <w:rFonts w:ascii="仿宋" w:hAnsi="仿宋" w:eastAsia="仿宋"/>
          <w:sz w:val="32"/>
        </w:rPr>
        <w:t>一是切实加强人员培训，根据不同岗位制定有针对性的培训计划，提高培训实用性、精准性，提高本部门职工业务素质；二是深入开展考察调研，组织人员到预算绩效管理工作先进的单位实地学习，吸收好的经验和做法，提出优化财政资金配置、提高资金使用效益的意见建议；三是加大宣传力度，强化全员预算绩效管理意识，促进预算绩效管理水平进一步提升。</w:t>
      </w:r>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410</w:t>
            </w:r>
            <w:r>
              <w:rPr>
                <w:rFonts w:hint="eastAsia" w:ascii="方正小标宋_GBK" w:eastAsia="方正小标宋_GBK"/>
              </w:rPr>
              <w:t>成安县统计局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在全县开展</w:t>
            </w:r>
            <w:r>
              <w:rPr>
                <w:rFonts w:ascii="方正书宋_GBK" w:eastAsia="方正书宋_GBK"/>
              </w:rPr>
              <w:t>GDP</w:t>
            </w:r>
            <w:r>
              <w:rPr>
                <w:rFonts w:hint="eastAsia" w:ascii="方正书宋_GBK" w:eastAsia="方正书宋_GBK"/>
              </w:rPr>
              <w:t>核算、资产负债核算、资金流量核算工作。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完成全县年度数据的测算审核认定工作</w:t>
            </w:r>
            <w:r>
              <w:rPr>
                <w:rFonts w:ascii="方正书宋_GBK" w:eastAsia="方正书宋_GBK"/>
              </w:rPr>
              <w:t>;</w:t>
            </w:r>
            <w:r>
              <w:rPr>
                <w:rFonts w:hint="eastAsia" w:ascii="方正书宋_GBK" w:eastAsia="方正书宋_GBK"/>
              </w:rPr>
              <w:t>完成必要分析，对相关经济决策提供重要依据。</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贯彻执行国家国民经济核算制度，组织实施全县国民经济核算制度和投入产出调查，核算全县生产总值，整理、测算和提供国民经济核算资料，监督管理全县国民经济核算工作。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完成全县年度、季度数据及各市年度数据的测算审核认定工作；完成必要分析，对相关经济决策提供重要依据。</w:t>
            </w:r>
          </w:p>
        </w:tc>
        <w:tc>
          <w:tcPr>
            <w:tcW w:w="1417" w:type="dxa"/>
            <w:vAlign w:val="center"/>
          </w:tcPr>
          <w:p>
            <w:pPr>
              <w:spacing w:line="300" w:lineRule="exact"/>
              <w:rPr>
                <w:rFonts w:ascii="方正书宋_GBK" w:eastAsia="方正书宋_GBK"/>
              </w:rPr>
            </w:pPr>
            <w:r>
              <w:rPr>
                <w:rFonts w:hint="eastAsia" w:ascii="方正书宋_GBK" w:eastAsia="方正书宋_GBK"/>
              </w:rPr>
              <w:t>综合数据统计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vAlign w:val="center"/>
          </w:tcPr>
          <w:p>
            <w:pPr>
              <w:spacing w:line="300" w:lineRule="exact"/>
              <w:rPr>
                <w:rFonts w:ascii="方正书宋_GBK" w:eastAsia="方正书宋_GBK"/>
              </w:rPr>
            </w:pPr>
            <w:r>
              <w:rPr>
                <w:rFonts w:hint="eastAsia" w:ascii="方正书宋_GBK" w:eastAsia="方正书宋_GBK"/>
              </w:rPr>
              <w:t>研究制定资料开发应用计划，进行业务培训，组织开展深层次课题研究，发布普查主要数据公报，完成普查工作总结和表彰。</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国情国力普查</w:t>
            </w:r>
          </w:p>
        </w:tc>
        <w:tc>
          <w:tcPr>
            <w:tcW w:w="1276" w:type="dxa"/>
            <w:vAlign w:val="center"/>
          </w:tcPr>
          <w:p>
            <w:pPr>
              <w:spacing w:line="300" w:lineRule="exact"/>
              <w:rPr>
                <w:rFonts w:ascii="方正书宋_GBK" w:eastAsia="方正书宋_GBK"/>
              </w:rPr>
            </w:pPr>
            <w:r>
              <w:rPr>
                <w:rFonts w:hint="eastAsia" w:ascii="方正书宋_GBK" w:eastAsia="方正书宋_GBK"/>
              </w:rPr>
              <w:t>29.52</w:t>
            </w:r>
          </w:p>
        </w:tc>
        <w:tc>
          <w:tcPr>
            <w:tcW w:w="2976" w:type="dxa"/>
            <w:vAlign w:val="center"/>
          </w:tcPr>
          <w:p>
            <w:pPr>
              <w:spacing w:line="300" w:lineRule="exact"/>
              <w:rPr>
                <w:rFonts w:ascii="方正书宋_GBK" w:eastAsia="方正书宋_GBK"/>
              </w:rPr>
            </w:pPr>
            <w:r>
              <w:rPr>
                <w:rFonts w:hint="eastAsia" w:ascii="方正书宋_GBK" w:eastAsia="方正书宋_GBK"/>
              </w:rPr>
              <w:t>组织完成国家部署的国情国力普查及重要调查任务，研究提出重大县情县力普查和抽样调查计划并组织实施，汇总、整理和提供有关县情县力方面的统计数据。</w:t>
            </w:r>
          </w:p>
        </w:tc>
        <w:tc>
          <w:tcPr>
            <w:tcW w:w="2976" w:type="dxa"/>
            <w:vAlign w:val="center"/>
          </w:tcPr>
          <w:p>
            <w:pPr>
              <w:spacing w:line="300" w:lineRule="exact"/>
              <w:rPr>
                <w:rFonts w:ascii="方正书宋_GBK" w:eastAsia="方正书宋_GBK"/>
              </w:rPr>
            </w:pPr>
            <w:r>
              <w:rPr>
                <w:rFonts w:hint="eastAsia" w:ascii="方正书宋_GBK" w:eastAsia="方正书宋_GBK"/>
              </w:rPr>
              <w:t>按照国家统计局、财政部关于印发《关于统计部门周期性普查和大型调查经费开支问题的暂行规定》，分年度完成普查工作，确保普查的顺利完成。</w:t>
            </w:r>
          </w:p>
        </w:tc>
        <w:tc>
          <w:tcPr>
            <w:tcW w:w="1417" w:type="dxa"/>
            <w:vAlign w:val="center"/>
          </w:tcPr>
          <w:p>
            <w:pPr>
              <w:spacing w:line="300" w:lineRule="exact"/>
              <w:rPr>
                <w:rFonts w:ascii="方正书宋_GBK" w:eastAsia="方正书宋_GBK"/>
              </w:rPr>
            </w:pPr>
            <w:r>
              <w:rPr>
                <w:rFonts w:hint="eastAsia" w:ascii="方正书宋_GBK" w:eastAsia="方正书宋_GBK"/>
              </w:rPr>
              <w:t>国情国力普查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6"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专项统计调查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根据部门职责及《中华人民共和国统计法》和国家统计局、县政府有关文件要求，组织实施涉及相关行业数据的专项统计调查。</w:t>
            </w:r>
          </w:p>
        </w:tc>
        <w:tc>
          <w:tcPr>
            <w:tcW w:w="2976" w:type="dxa"/>
            <w:vAlign w:val="center"/>
          </w:tcPr>
          <w:p>
            <w:pPr>
              <w:spacing w:line="300" w:lineRule="exact"/>
              <w:rPr>
                <w:rFonts w:ascii="方正书宋_GBK" w:eastAsia="方正书宋_GBK"/>
              </w:rPr>
            </w:pPr>
            <w:r>
              <w:rPr>
                <w:rFonts w:hint="eastAsia" w:ascii="方正书宋_GBK" w:eastAsia="方正书宋_GBK"/>
              </w:rPr>
              <w:t>组织开展专项统计调查工作，了解基层情况和动态提供统计信息和咨询建议。</w:t>
            </w:r>
          </w:p>
        </w:tc>
        <w:tc>
          <w:tcPr>
            <w:tcW w:w="1417" w:type="dxa"/>
            <w:vAlign w:val="center"/>
          </w:tcPr>
          <w:p>
            <w:pPr>
              <w:spacing w:line="300" w:lineRule="exact"/>
              <w:rPr>
                <w:rFonts w:ascii="方正书宋_GBK" w:eastAsia="方正书宋_GBK"/>
              </w:rPr>
            </w:pPr>
            <w:r>
              <w:rPr>
                <w:rFonts w:hint="eastAsia" w:ascii="方正书宋_GBK" w:eastAsia="方正书宋_GBK"/>
              </w:rPr>
              <w:t>专项统计调查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统计数据采集决策咨询</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管理全县统计数据库网络；指导全县统计信息化系统建设。组织全县统计系统各级各专业实施以企业一套表制度为核心的统计四大工程：建立并管理全县统计信息自动化系统和统计数据库系统。</w:t>
            </w:r>
          </w:p>
        </w:tc>
        <w:tc>
          <w:tcPr>
            <w:tcW w:w="2976" w:type="dxa"/>
            <w:vAlign w:val="center"/>
          </w:tcPr>
          <w:p>
            <w:pPr>
              <w:spacing w:line="300" w:lineRule="exact"/>
              <w:rPr>
                <w:rFonts w:ascii="方正书宋_GBK" w:eastAsia="方正书宋_GBK"/>
              </w:rPr>
            </w:pPr>
            <w:r>
              <w:rPr>
                <w:rFonts w:hint="eastAsia" w:ascii="方正书宋_GBK" w:eastAsia="方正书宋_GBK"/>
              </w:rPr>
              <w:t>保障全县统计信息自动化系统和统计数据库系统运行安全平稳。保证统计数据的顺利报送汇总。</w:t>
            </w:r>
          </w:p>
        </w:tc>
        <w:tc>
          <w:tcPr>
            <w:tcW w:w="1417" w:type="dxa"/>
            <w:vAlign w:val="center"/>
          </w:tcPr>
          <w:p>
            <w:pPr>
              <w:spacing w:line="300" w:lineRule="exact"/>
              <w:rPr>
                <w:rFonts w:ascii="方正书宋_GBK" w:eastAsia="方正书宋_GBK"/>
              </w:rPr>
            </w:pPr>
            <w:r>
              <w:rPr>
                <w:rFonts w:hint="eastAsia" w:ascii="方正书宋_GBK" w:eastAsia="方正书宋_GBK"/>
              </w:rPr>
              <w:t>信息化建设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统计政务管理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保障机关日常运转，健全全县统计法制建设，指导全县统计专业技术队伍建设。</w:t>
            </w:r>
          </w:p>
        </w:tc>
        <w:tc>
          <w:tcPr>
            <w:tcW w:w="2976" w:type="dxa"/>
            <w:vAlign w:val="center"/>
          </w:tcPr>
          <w:p>
            <w:pPr>
              <w:spacing w:line="300" w:lineRule="exact"/>
              <w:rPr>
                <w:rFonts w:ascii="方正书宋_GBK" w:eastAsia="方正书宋_GBK"/>
              </w:rPr>
            </w:pPr>
            <w:r>
              <w:rPr>
                <w:rFonts w:hint="eastAsia" w:ascii="方正书宋_GBK" w:eastAsia="方正书宋_GBK"/>
              </w:rPr>
              <w:t>保障统计信息化建设、统计执法、统计人员上岗资格认定、职称考试等全县统计专业技术队伍建设。</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健全全县统计法制建设，严格查处统计违法现象，开展统计基层基础建设，指导全县统计专业技术队伍建设，配合国家统计局组织管理统计从业资格认定和持证上岗工作，协助有关部门组织管理统计专业技术资格。</w:t>
            </w:r>
          </w:p>
        </w:tc>
        <w:tc>
          <w:tcPr>
            <w:tcW w:w="2976" w:type="dxa"/>
            <w:vAlign w:val="center"/>
          </w:tcPr>
          <w:p>
            <w:pPr>
              <w:spacing w:line="300" w:lineRule="exact"/>
              <w:rPr>
                <w:rFonts w:ascii="方正书宋_GBK" w:eastAsia="方正书宋_GBK"/>
              </w:rPr>
            </w:pPr>
            <w:r>
              <w:rPr>
                <w:rFonts w:hint="eastAsia" w:ascii="方正书宋_GBK" w:eastAsia="方正书宋_GBK"/>
              </w:rPr>
              <w:t>开展统计执法检查和培训工作，防范统计违法现象的发生；拟定全县统计教育培训制度、规划等，统一归口管理指导全县统计教育培训工作；</w:t>
            </w:r>
            <w:r>
              <w:rPr>
                <w:rFonts w:ascii="方正书宋_GBK" w:eastAsia="方正书宋_GBK"/>
              </w:rPr>
              <w:t xml:space="preserve"> </w:t>
            </w:r>
            <w:r>
              <w:rPr>
                <w:rFonts w:hint="eastAsia" w:ascii="方正书宋_GBK" w:eastAsia="方正书宋_GBK"/>
              </w:rPr>
              <w:t>开展全县统计专业技术人员职称资格考试和评定工作。</w:t>
            </w:r>
          </w:p>
        </w:tc>
        <w:tc>
          <w:tcPr>
            <w:tcW w:w="1417" w:type="dxa"/>
            <w:vAlign w:val="center"/>
          </w:tcPr>
          <w:p>
            <w:pPr>
              <w:spacing w:line="300" w:lineRule="exact"/>
              <w:rPr>
                <w:rFonts w:ascii="方正书宋_GBK" w:eastAsia="方正书宋_GBK"/>
              </w:rPr>
            </w:pPr>
            <w:r>
              <w:rPr>
                <w:rFonts w:hint="eastAsia" w:ascii="方正书宋_GBK" w:eastAsia="方正书宋_GBK"/>
              </w:rPr>
              <w:t>统计法制建设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保障机关日常运转，开展纪检监察、计财内审、人事管理、老干部管理、党建、后勤、行政许可事务性管理等工作。</w:t>
            </w:r>
          </w:p>
        </w:tc>
        <w:tc>
          <w:tcPr>
            <w:tcW w:w="2976" w:type="dxa"/>
            <w:vAlign w:val="center"/>
          </w:tcPr>
          <w:p>
            <w:pPr>
              <w:spacing w:line="300" w:lineRule="exact"/>
              <w:rPr>
                <w:rFonts w:ascii="方正书宋_GBK" w:eastAsia="方正书宋_GBK"/>
              </w:rPr>
            </w:pPr>
            <w:r>
              <w:rPr>
                <w:rFonts w:hint="eastAsia" w:ascii="方正书宋_GBK" w:eastAsia="方正书宋_GBK"/>
              </w:rPr>
              <w:t>保障机关正常运转。</w:t>
            </w:r>
          </w:p>
        </w:tc>
        <w:tc>
          <w:tcPr>
            <w:tcW w:w="1417" w:type="dxa"/>
            <w:vAlign w:val="center"/>
          </w:tcPr>
          <w:p>
            <w:pPr>
              <w:spacing w:line="300" w:lineRule="exac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410</w:t>
            </w:r>
            <w:r>
              <w:rPr>
                <w:rFonts w:hint="eastAsia" w:ascii="方正小标宋_GBK" w:eastAsia="方正小标宋_GBK"/>
              </w:rPr>
              <w:t>成安县统计局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在全县开展</w:t>
            </w:r>
            <w:r>
              <w:rPr>
                <w:rFonts w:ascii="方正书宋_GBK" w:eastAsia="方正书宋_GBK"/>
              </w:rPr>
              <w:t>GDP</w:t>
            </w:r>
            <w:r>
              <w:rPr>
                <w:rFonts w:hint="eastAsia" w:ascii="方正书宋_GBK" w:eastAsia="方正书宋_GBK"/>
              </w:rPr>
              <w:t>核算、资产负债核算、资金流量核算工作。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完成全县年度数据的测算审核认定工作</w:t>
            </w:r>
            <w:r>
              <w:rPr>
                <w:rFonts w:ascii="方正书宋_GBK" w:eastAsia="方正书宋_GBK"/>
              </w:rPr>
              <w:t>;</w:t>
            </w:r>
            <w:r>
              <w:rPr>
                <w:rFonts w:hint="eastAsia" w:ascii="方正书宋_GBK" w:eastAsia="方正书宋_GBK"/>
              </w:rPr>
              <w:t>完成必要分析，对相关经济决策提供重要依据。</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贯彻执行国家国民经济核算制度，组织实施全县国民经济核算制度和投入产出调查，核算全县生产总值，整理、测算和提供国民经济核算资料，监督管理全县国民经济核算工作。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完成全县年度、季度数据及各市年度数据的测算审核认定工作；完成必要分析，对相关经济决策提供重要依据。</w:t>
            </w:r>
          </w:p>
        </w:tc>
        <w:tc>
          <w:tcPr>
            <w:tcW w:w="1417" w:type="dxa"/>
            <w:vAlign w:val="center"/>
          </w:tcPr>
          <w:p>
            <w:pPr>
              <w:spacing w:line="300" w:lineRule="exact"/>
              <w:rPr>
                <w:rFonts w:ascii="方正书宋_GBK" w:eastAsia="方正书宋_GBK"/>
              </w:rPr>
            </w:pPr>
            <w:r>
              <w:rPr>
                <w:rFonts w:hint="eastAsia" w:ascii="方正书宋_GBK" w:eastAsia="方正书宋_GBK"/>
              </w:rPr>
              <w:t>综合数据统计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vAlign w:val="center"/>
          </w:tcPr>
          <w:p>
            <w:pPr>
              <w:spacing w:line="300" w:lineRule="exact"/>
              <w:rPr>
                <w:rFonts w:ascii="方正书宋_GBK" w:eastAsia="方正书宋_GBK"/>
              </w:rPr>
            </w:pPr>
            <w:r>
              <w:rPr>
                <w:rFonts w:hint="eastAsia" w:ascii="方正书宋_GBK" w:eastAsia="方正书宋_GBK"/>
              </w:rPr>
              <w:t>研究制定资料开发应用计划，进行业务培训，组织开展深层次课题研究，发布普查主要数据公报，完成普查工作总结和表彰。</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国情国力普查</w:t>
            </w:r>
          </w:p>
        </w:tc>
        <w:tc>
          <w:tcPr>
            <w:tcW w:w="1276" w:type="dxa"/>
            <w:vAlign w:val="center"/>
          </w:tcPr>
          <w:p>
            <w:pPr>
              <w:spacing w:line="300" w:lineRule="exact"/>
              <w:rPr>
                <w:rFonts w:ascii="方正书宋_GBK" w:eastAsia="方正书宋_GBK"/>
              </w:rPr>
            </w:pPr>
            <w:r>
              <w:rPr>
                <w:rFonts w:hint="eastAsia" w:ascii="方正书宋_GBK" w:eastAsia="方正书宋_GBK"/>
              </w:rPr>
              <w:t>29.52</w:t>
            </w:r>
          </w:p>
        </w:tc>
        <w:tc>
          <w:tcPr>
            <w:tcW w:w="2976" w:type="dxa"/>
            <w:vAlign w:val="center"/>
          </w:tcPr>
          <w:p>
            <w:pPr>
              <w:spacing w:line="300" w:lineRule="exact"/>
              <w:rPr>
                <w:rFonts w:ascii="方正书宋_GBK" w:eastAsia="方正书宋_GBK"/>
              </w:rPr>
            </w:pPr>
            <w:r>
              <w:rPr>
                <w:rFonts w:hint="eastAsia" w:ascii="方正书宋_GBK" w:eastAsia="方正书宋_GBK"/>
              </w:rPr>
              <w:t>组织完成国家部署的国情国力普查及重要调查任务，研究提出重大县情县力普查和抽样调查计划并组织实施，汇总、整理和提供有关县情县力方面的统计数据。</w:t>
            </w:r>
          </w:p>
        </w:tc>
        <w:tc>
          <w:tcPr>
            <w:tcW w:w="2976" w:type="dxa"/>
            <w:vAlign w:val="center"/>
          </w:tcPr>
          <w:p>
            <w:pPr>
              <w:spacing w:line="300" w:lineRule="exact"/>
              <w:rPr>
                <w:rFonts w:ascii="方正书宋_GBK" w:eastAsia="方正书宋_GBK"/>
              </w:rPr>
            </w:pPr>
            <w:r>
              <w:rPr>
                <w:rFonts w:hint="eastAsia" w:ascii="方正书宋_GBK" w:eastAsia="方正书宋_GBK"/>
              </w:rPr>
              <w:t>按照国家统计局、财政部关于印发《关于统计部门周期性普查和大型调查经费开支问题的暂行规定》，分年度完成普查工作，确保普查的顺利完成。</w:t>
            </w:r>
          </w:p>
        </w:tc>
        <w:tc>
          <w:tcPr>
            <w:tcW w:w="1417" w:type="dxa"/>
            <w:vAlign w:val="center"/>
          </w:tcPr>
          <w:p>
            <w:pPr>
              <w:spacing w:line="300" w:lineRule="exact"/>
              <w:rPr>
                <w:rFonts w:ascii="方正书宋_GBK" w:eastAsia="方正书宋_GBK"/>
              </w:rPr>
            </w:pPr>
            <w:r>
              <w:rPr>
                <w:rFonts w:hint="eastAsia" w:ascii="方正书宋_GBK" w:eastAsia="方正书宋_GBK"/>
              </w:rPr>
              <w:t>国情国力普查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6"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专项统计调查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根据部门职责及《中华人民共和国统计法》和国家统计局、县政府有关文件要求，组织实施涉及相关行业数据的专项统计调查。</w:t>
            </w:r>
          </w:p>
        </w:tc>
        <w:tc>
          <w:tcPr>
            <w:tcW w:w="2976" w:type="dxa"/>
            <w:vAlign w:val="center"/>
          </w:tcPr>
          <w:p>
            <w:pPr>
              <w:spacing w:line="300" w:lineRule="exact"/>
              <w:rPr>
                <w:rFonts w:ascii="方正书宋_GBK" w:eastAsia="方正书宋_GBK"/>
              </w:rPr>
            </w:pPr>
            <w:r>
              <w:rPr>
                <w:rFonts w:hint="eastAsia" w:ascii="方正书宋_GBK" w:eastAsia="方正书宋_GBK"/>
              </w:rPr>
              <w:t>组织开展专项统计调查工作，了解基层情况和动态提供统计信息和咨询建议。</w:t>
            </w:r>
          </w:p>
        </w:tc>
        <w:tc>
          <w:tcPr>
            <w:tcW w:w="1417" w:type="dxa"/>
            <w:vAlign w:val="center"/>
          </w:tcPr>
          <w:p>
            <w:pPr>
              <w:spacing w:line="300" w:lineRule="exact"/>
              <w:rPr>
                <w:rFonts w:ascii="方正书宋_GBK" w:eastAsia="方正书宋_GBK"/>
              </w:rPr>
            </w:pPr>
            <w:r>
              <w:rPr>
                <w:rFonts w:hint="eastAsia" w:ascii="方正书宋_GBK" w:eastAsia="方正书宋_GBK"/>
              </w:rPr>
              <w:t>专项统计调查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统计数据采集决策咨询</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管理全县统计数据库网络；指导全县统计信息化系统建设。组织全县统计系统各级各专业实施以企业一套表制度为核心的统计四大工程：建立并管理全县统计信息自动化系统和统计数据库系统。</w:t>
            </w:r>
          </w:p>
        </w:tc>
        <w:tc>
          <w:tcPr>
            <w:tcW w:w="2976" w:type="dxa"/>
            <w:vAlign w:val="center"/>
          </w:tcPr>
          <w:p>
            <w:pPr>
              <w:spacing w:line="300" w:lineRule="exact"/>
              <w:rPr>
                <w:rFonts w:ascii="方正书宋_GBK" w:eastAsia="方正书宋_GBK"/>
              </w:rPr>
            </w:pPr>
            <w:r>
              <w:rPr>
                <w:rFonts w:hint="eastAsia" w:ascii="方正书宋_GBK" w:eastAsia="方正书宋_GBK"/>
              </w:rPr>
              <w:t>保障全县统计信息自动化系统和统计数据库系统运行安全平稳。保证统计数据的顺利报送汇总。</w:t>
            </w:r>
          </w:p>
        </w:tc>
        <w:tc>
          <w:tcPr>
            <w:tcW w:w="1417" w:type="dxa"/>
            <w:vAlign w:val="center"/>
          </w:tcPr>
          <w:p>
            <w:pPr>
              <w:spacing w:line="300" w:lineRule="exact"/>
              <w:rPr>
                <w:rFonts w:ascii="方正书宋_GBK" w:eastAsia="方正书宋_GBK"/>
              </w:rPr>
            </w:pPr>
            <w:r>
              <w:rPr>
                <w:rFonts w:hint="eastAsia" w:ascii="方正书宋_GBK" w:eastAsia="方正书宋_GBK"/>
              </w:rPr>
              <w:t>信息化建设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统计政务管理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保障机关日常运转，健全全县统计法制建设，指导全县统计专业技术队伍建设。</w:t>
            </w:r>
          </w:p>
        </w:tc>
        <w:tc>
          <w:tcPr>
            <w:tcW w:w="2976" w:type="dxa"/>
            <w:vAlign w:val="center"/>
          </w:tcPr>
          <w:p>
            <w:pPr>
              <w:spacing w:line="300" w:lineRule="exact"/>
              <w:rPr>
                <w:rFonts w:ascii="方正书宋_GBK" w:eastAsia="方正书宋_GBK"/>
              </w:rPr>
            </w:pPr>
            <w:r>
              <w:rPr>
                <w:rFonts w:hint="eastAsia" w:ascii="方正书宋_GBK" w:eastAsia="方正书宋_GBK"/>
              </w:rPr>
              <w:t>保障统计信息化建设、统计执法、统计人员上岗资格认定、职称考试等全县统计专业技术队伍建设。</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健全全县统计法制建设，严格查处统计违法现象，开展统计基层基础建设，指导全县统计专业技术队伍建设，配合国家统计局组织管理统计从业资格认定和持证上岗工作，协助有关部门组织管理统计专业技术资格。</w:t>
            </w:r>
          </w:p>
        </w:tc>
        <w:tc>
          <w:tcPr>
            <w:tcW w:w="2976" w:type="dxa"/>
            <w:vAlign w:val="center"/>
          </w:tcPr>
          <w:p>
            <w:pPr>
              <w:spacing w:line="300" w:lineRule="exact"/>
              <w:rPr>
                <w:rFonts w:ascii="方正书宋_GBK" w:eastAsia="方正书宋_GBK"/>
              </w:rPr>
            </w:pPr>
            <w:r>
              <w:rPr>
                <w:rFonts w:hint="eastAsia" w:ascii="方正书宋_GBK" w:eastAsia="方正书宋_GBK"/>
              </w:rPr>
              <w:t>开展统计执法检查和培训工作，防范统计违法现象的发生；拟定全县统计教育培训制度、规划等，统一归口管理指导全县统计教育培训工作；</w:t>
            </w:r>
            <w:r>
              <w:rPr>
                <w:rFonts w:ascii="方正书宋_GBK" w:eastAsia="方正书宋_GBK"/>
              </w:rPr>
              <w:t xml:space="preserve"> </w:t>
            </w:r>
            <w:r>
              <w:rPr>
                <w:rFonts w:hint="eastAsia" w:ascii="方正书宋_GBK" w:eastAsia="方正书宋_GBK"/>
              </w:rPr>
              <w:t>开展全县统计专业技术人员职称资格考试和评定工作。</w:t>
            </w:r>
          </w:p>
        </w:tc>
        <w:tc>
          <w:tcPr>
            <w:tcW w:w="1417" w:type="dxa"/>
            <w:vAlign w:val="center"/>
          </w:tcPr>
          <w:p>
            <w:pPr>
              <w:spacing w:line="300" w:lineRule="exact"/>
              <w:rPr>
                <w:rFonts w:ascii="方正书宋_GBK" w:eastAsia="方正书宋_GBK"/>
              </w:rPr>
            </w:pPr>
            <w:r>
              <w:rPr>
                <w:rFonts w:hint="eastAsia" w:ascii="方正书宋_GBK" w:eastAsia="方正书宋_GBK"/>
              </w:rPr>
              <w:t>统计法制建设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保障机关日常运转，开展纪检监察、计财内审、人事管理、老干部管理、党建、后勤、行政许可事务性管理等工作。</w:t>
            </w:r>
          </w:p>
        </w:tc>
        <w:tc>
          <w:tcPr>
            <w:tcW w:w="2976" w:type="dxa"/>
            <w:vAlign w:val="center"/>
          </w:tcPr>
          <w:p>
            <w:pPr>
              <w:spacing w:line="300" w:lineRule="exact"/>
              <w:rPr>
                <w:rFonts w:ascii="方正书宋_GBK" w:eastAsia="方正书宋_GBK"/>
              </w:rPr>
            </w:pPr>
            <w:r>
              <w:rPr>
                <w:rFonts w:hint="eastAsia" w:ascii="方正书宋_GBK" w:eastAsia="方正书宋_GBK"/>
              </w:rPr>
              <w:t>保障机关正常运转。</w:t>
            </w:r>
          </w:p>
        </w:tc>
        <w:tc>
          <w:tcPr>
            <w:tcW w:w="1417" w:type="dxa"/>
            <w:vAlign w:val="center"/>
          </w:tcPr>
          <w:p>
            <w:pPr>
              <w:spacing w:line="300" w:lineRule="exac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2022年，成安县统计局安排政府采购预算0.00万元。具体内容见下表。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410成安县统计局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成安县统计局（含所属单位）上年末固定资产金额为39.48万元（详见下表）。本年度拟购置固定资产总额为0.00万元，已按要求列入政府采购预算，详见政府采购预算表。</w:t>
      </w:r>
    </w:p>
    <w:tbl>
      <w:tblPr>
        <w:tblStyle w:val="8"/>
        <w:tblW w:w="0" w:type="auto"/>
        <w:jc w:val="center"/>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jc w:val="center"/>
        </w:trPr>
        <w:tc>
          <w:tcPr>
            <w:tcW w:w="9060" w:type="dxa"/>
            <w:gridSpan w:val="3"/>
            <w:tcBorders>
              <w:top w:val="nil"/>
              <w:left w:val="nil"/>
              <w:bottom w:val="nil"/>
              <w:right w:val="nil"/>
            </w:tcBorders>
            <w:vAlign w:val="center"/>
          </w:tcPr>
          <w:p>
            <w:pPr>
              <w:rPr>
                <w:rFonts w:ascii="仿宋_GB2312" w:hAnsi="宋体" w:eastAsia="仿宋_GB2312" w:cs="宋体"/>
                <w:bCs/>
                <w:sz w:val="32"/>
                <w:szCs w:val="32"/>
              </w:rPr>
            </w:pPr>
            <w:r>
              <w:rPr>
                <w:rFonts w:hint="eastAsia" w:ascii="仿宋_GB2312" w:hAnsi="宋体" w:eastAsia="仿宋_GB2312" w:cs="宋体"/>
                <w:bCs/>
                <w:sz w:val="32"/>
                <w:szCs w:val="32"/>
              </w:rPr>
              <w:t xml:space="preserve">            </w:t>
            </w:r>
          </w:p>
          <w:p>
            <w:pPr>
              <w:rPr>
                <w:rFonts w:ascii="仿宋_GB2312" w:hAnsi="宋体" w:eastAsia="仿宋_GB2312" w:cs="宋体"/>
                <w:bCs/>
                <w:sz w:val="32"/>
                <w:szCs w:val="32"/>
              </w:rPr>
            </w:pPr>
            <w:r>
              <w:rPr>
                <w:rFonts w:hint="eastAsia" w:ascii="仿宋_GB2312" w:hAnsi="宋体" w:eastAsia="仿宋_GB2312" w:cs="宋体"/>
                <w:bCs/>
                <w:sz w:val="32"/>
                <w:szCs w:val="32"/>
              </w:rPr>
              <w:t xml:space="preserve">              部门固定资产占用情况表</w:t>
            </w:r>
          </w:p>
        </w:tc>
      </w:tr>
      <w:tr>
        <w:tblPrEx>
          <w:tblCellMar>
            <w:top w:w="0" w:type="dxa"/>
            <w:left w:w="108" w:type="dxa"/>
            <w:bottom w:w="0" w:type="dxa"/>
            <w:right w:w="108" w:type="dxa"/>
          </w:tblCellMar>
        </w:tblPrEx>
        <w:trPr>
          <w:trHeight w:val="510" w:hRule="atLeast"/>
          <w:jc w:val="center"/>
        </w:trPr>
        <w:tc>
          <w:tcPr>
            <w:tcW w:w="4994" w:type="dxa"/>
            <w:gridSpan w:val="2"/>
            <w:tcBorders>
              <w:top w:val="nil"/>
              <w:left w:val="nil"/>
              <w:bottom w:val="nil"/>
              <w:right w:val="nil"/>
            </w:tcBorders>
            <w:vAlign w:val="center"/>
          </w:tcPr>
          <w:p>
            <w:pPr>
              <w:rPr>
                <w:rFonts w:ascii="仿宋_GB2312" w:hAnsi="宋体" w:eastAsia="仿宋_GB2312" w:cs="宋体"/>
                <w:sz w:val="22"/>
              </w:rPr>
            </w:pPr>
            <w:r>
              <w:rPr>
                <w:rFonts w:hint="eastAsia" w:ascii="仿宋_GB2312" w:hAnsi="宋体" w:eastAsia="仿宋_GB2312" w:cs="宋体"/>
                <w:sz w:val="22"/>
              </w:rPr>
              <w:t>编制部门：成安县统计局</w:t>
            </w:r>
          </w:p>
        </w:tc>
        <w:tc>
          <w:tcPr>
            <w:tcW w:w="4066" w:type="dxa"/>
            <w:tcBorders>
              <w:top w:val="nil"/>
              <w:left w:val="nil"/>
              <w:bottom w:val="nil"/>
              <w:right w:val="nil"/>
            </w:tcBorders>
            <w:vAlign w:val="center"/>
          </w:tcPr>
          <w:p>
            <w:pPr>
              <w:ind w:firstLine="550" w:firstLineChars="250"/>
              <w:rPr>
                <w:rFonts w:ascii="仿宋_GB2312" w:hAnsi="宋体" w:eastAsia="仿宋_GB2312" w:cs="宋体"/>
                <w:sz w:val="22"/>
              </w:rPr>
            </w:pPr>
            <w:r>
              <w:rPr>
                <w:rFonts w:hint="eastAsia" w:ascii="仿宋_GB2312" w:hAnsi="宋体" w:eastAsia="仿宋_GB2312" w:cs="宋体"/>
                <w:sz w:val="22"/>
              </w:rPr>
              <w:t>截止时间：202</w:t>
            </w:r>
            <w:r>
              <w:rPr>
                <w:rFonts w:ascii="仿宋_GB2312" w:hAnsi="宋体" w:eastAsia="仿宋_GB2312" w:cs="宋体"/>
                <w:sz w:val="22"/>
              </w:rPr>
              <w:t>1</w:t>
            </w:r>
            <w:r>
              <w:rPr>
                <w:rFonts w:hint="eastAsia" w:ascii="仿宋_GB2312" w:hAnsi="宋体" w:eastAsia="仿宋_GB2312" w:cs="宋体"/>
                <w:sz w:val="22"/>
              </w:rPr>
              <w:t xml:space="preserve">年12月31日  </w:t>
            </w:r>
          </w:p>
        </w:tc>
      </w:tr>
      <w:tr>
        <w:tblPrEx>
          <w:tblCellMar>
            <w:top w:w="0" w:type="dxa"/>
            <w:left w:w="108" w:type="dxa"/>
            <w:bottom w:w="0" w:type="dxa"/>
            <w:right w:w="108" w:type="dxa"/>
          </w:tblCellMar>
        </w:tblPrEx>
        <w:trPr>
          <w:trHeight w:val="645" w:hRule="atLeast"/>
          <w:jc w:val="center"/>
        </w:trPr>
        <w:tc>
          <w:tcPr>
            <w:tcW w:w="41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项   目</w:t>
            </w:r>
          </w:p>
        </w:tc>
        <w:tc>
          <w:tcPr>
            <w:tcW w:w="8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数量</w:t>
            </w:r>
          </w:p>
        </w:tc>
        <w:tc>
          <w:tcPr>
            <w:tcW w:w="40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价值（金额单位：万元）</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资产总额</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39.</w:t>
            </w:r>
            <w:r>
              <w:rPr>
                <w:rFonts w:ascii="仿宋_GB2312" w:hAnsi="宋体" w:eastAsia="仿宋_GB2312" w:cs="宋体"/>
                <w:sz w:val="22"/>
              </w:rPr>
              <w:t>48</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1、房屋（平方米）</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38</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 xml:space="preserve">   其中：办公用房（平方米）</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38</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在政府集中办公</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2、车辆（台、辆）</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1</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13</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3、单价在50万元以上的设备</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4、其他固定资产</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35</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26.</w:t>
            </w:r>
            <w:r>
              <w:rPr>
                <w:rFonts w:ascii="仿宋_GB2312" w:hAnsi="宋体" w:eastAsia="仿宋_GB2312" w:cs="宋体"/>
                <w:sz w:val="22"/>
              </w:rPr>
              <w:t>48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883592"/>
    <w:rsid w:val="00043E9E"/>
    <w:rsid w:val="001E614F"/>
    <w:rsid w:val="00226670"/>
    <w:rsid w:val="003A6351"/>
    <w:rsid w:val="007D2CAD"/>
    <w:rsid w:val="00883592"/>
    <w:rsid w:val="00DB250A"/>
    <w:rsid w:val="00DD1400"/>
    <w:rsid w:val="00E960E1"/>
    <w:rsid w:val="00F21E68"/>
    <w:rsid w:val="00F75413"/>
    <w:rsid w:val="304968CE"/>
    <w:rsid w:val="6A280A68"/>
    <w:rsid w:val="7E16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 w:type="paragraph" w:customStyle="1" w:styleId="35">
    <w:name w:val="p"/>
    <w:basedOn w:val="1"/>
    <w:qFormat/>
    <w:uiPriority w:val="0"/>
    <w:rPr>
      <w:rFonts w:ascii="宋体" w:hAnsi="宋体" w:eastAsia="宋体"/>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2022-03-18T10:43:04Z</dcterms:created>
  <dcterms:modified xsi:type="dcterms:W3CDTF">2022-03-18T02:43:04Z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2022-03-18T10:43:01Z</dcterms:created>
  <dcterms:modified xsi:type="dcterms:W3CDTF">2022-03-18T02:43:01Z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2022-03-18T10:43:01Z</dcterms:created>
  <dcterms:modified xsi:type="dcterms:W3CDTF">2022-03-18T02:43:01Z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2022-03-18T10:43:05Z</dcterms:created>
  <dcterms:modified xsi:type="dcterms:W3CDTF">2022-03-18T02:43:05Z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2022-03-18T10:43:02Z</dcterms:created>
  <dcterms:modified xsi:type="dcterms:W3CDTF">2022-03-18T02:43:02Z</dcterms:modified>
</cp:coreProperties>
</file>

<file path=customXml/itemProps1.xml><?xml version="1.0" encoding="utf-8"?>
<ds:datastoreItem xmlns:ds="http://schemas.openxmlformats.org/officeDocument/2006/customXml" ds:itemID="{986FFA9B-92AE-413D-9C5D-84AE02864E3B}">
  <ds:schemaRefs/>
</ds:datastoreItem>
</file>

<file path=customXml/itemProps10.xml><?xml version="1.0" encoding="utf-8"?>
<ds:datastoreItem xmlns:ds="http://schemas.openxmlformats.org/officeDocument/2006/customXml" ds:itemID="{84168EE3-FB74-4188-8AF1-975ED547782B}">
  <ds:schemaRefs/>
</ds:datastoreItem>
</file>

<file path=customXml/itemProps2.xml><?xml version="1.0" encoding="utf-8"?>
<ds:datastoreItem xmlns:ds="http://schemas.openxmlformats.org/officeDocument/2006/customXml" ds:itemID="{FA42FD5C-2BC4-45FD-ABD8-A92026DED769}">
  <ds:schemaRefs/>
</ds:datastoreItem>
</file>

<file path=customXml/itemProps3.xml><?xml version="1.0" encoding="utf-8"?>
<ds:datastoreItem xmlns:ds="http://schemas.openxmlformats.org/officeDocument/2006/customXml" ds:itemID="{EA4FA9C5-C49F-4829-A025-8F1800DA8584}">
  <ds:schemaRefs/>
</ds:datastoreItem>
</file>

<file path=customXml/itemProps4.xml><?xml version="1.0" encoding="utf-8"?>
<ds:datastoreItem xmlns:ds="http://schemas.openxmlformats.org/officeDocument/2006/customXml" ds:itemID="{402CB837-075B-4AEB-AB53-8E1DDE8CC58F}">
  <ds:schemaRefs/>
</ds:datastoreItem>
</file>

<file path=customXml/itemProps5.xml><?xml version="1.0" encoding="utf-8"?>
<ds:datastoreItem xmlns:ds="http://schemas.openxmlformats.org/officeDocument/2006/customXml" ds:itemID="{FC467A9E-48BF-4620-8EC6-7E4A5D63DEAD}">
  <ds:schemaRefs/>
</ds:datastoreItem>
</file>

<file path=customXml/itemProps6.xml><?xml version="1.0" encoding="utf-8"?>
<ds:datastoreItem xmlns:ds="http://schemas.openxmlformats.org/officeDocument/2006/customXml" ds:itemID="{27CC0E0D-086E-47F0-A2E5-062D185959A4}">
  <ds:schemaRefs/>
</ds:datastoreItem>
</file>

<file path=customXml/itemProps7.xml><?xml version="1.0" encoding="utf-8"?>
<ds:datastoreItem xmlns:ds="http://schemas.openxmlformats.org/officeDocument/2006/customXml" ds:itemID="{41693A6B-5671-4493-A133-1E27DC756306}">
  <ds:schemaRefs/>
</ds:datastoreItem>
</file>

<file path=customXml/itemProps8.xml><?xml version="1.0" encoding="utf-8"?>
<ds:datastoreItem xmlns:ds="http://schemas.openxmlformats.org/officeDocument/2006/customXml" ds:itemID="{8190A7F3-C770-4B5D-85B1-2915EE8D5A95}">
  <ds:schemaRefs/>
</ds:datastoreItem>
</file>

<file path=customXml/itemProps9.xml><?xml version="1.0" encoding="utf-8"?>
<ds:datastoreItem xmlns:ds="http://schemas.openxmlformats.org/officeDocument/2006/customXml" ds:itemID="{FE2FEEA0-E8DC-4A48-B408-F48AF80C1A1B}">
  <ds:schemaRefs/>
</ds:datastoreItem>
</file>

<file path=docProps/app.xml><?xml version="1.0" encoding="utf-8"?>
<Properties xmlns="http://schemas.openxmlformats.org/officeDocument/2006/extended-properties" xmlns:vt="http://schemas.openxmlformats.org/officeDocument/2006/docPropsVTypes">
  <Template>Normal</Template>
  <Pages>31</Pages>
  <Words>2231</Words>
  <Characters>12718</Characters>
  <Lines>105</Lines>
  <Paragraphs>29</Paragraphs>
  <TotalTime>0</TotalTime>
  <ScaleCrop>false</ScaleCrop>
  <LinksUpToDate>false</LinksUpToDate>
  <CharactersWithSpaces>14920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2022-03-18T10:43:00Z</dcterms:created>
  <dc:creator>Administrator</dc:creator>
  <cp:lastModifiedBy>WPS_1657181579</cp:lastModifiedBy>
  <dcterms:modified xsi:type="dcterms:W3CDTF">2024-01-19T01:40:32Z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AC7EE5234B4F464C994CD4990350D19E</vt:lpwstr>
  </property>
</Properties>
</file>