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fldChar w:fldCharType="end"/>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6</w:t>
      </w:r>
    </w:p>
    <w:p>
      <w:pPr>
        <w:pStyle w:val="4"/>
        <w:tabs>
          <w:tab w:val="right" w:leader="dot" w:pos="14562"/>
        </w:tabs>
        <w:sectPr>
          <w:pgSz w:w="16840" w:h="11900" w:orient="landscape"/>
          <w:pgMar w:top="1361" w:right="1020" w:bottom="1134" w:left="1020" w:header="720" w:footer="720" w:gutter="0"/>
          <w:pgNumType w:start="1"/>
          <w:cols w:space="720" w:num="1"/>
        </w:sectPr>
      </w:pP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w:t>
      </w:r>
      <w:r>
        <w:fldChar w:fldCharType="end"/>
      </w:r>
      <w:r>
        <w:rPr>
          <w:rFonts w:hint="eastAsia"/>
          <w:lang w:val="en-US" w:eastAsia="zh-CN"/>
        </w:rPr>
        <w:t>38</w:t>
      </w:r>
    </w:p>
    <w:p/>
    <w:p/>
    <w:p/>
    <w:p/>
    <w:p/>
    <w:p/>
    <w:p/>
    <w:p/>
    <w:p/>
    <w:p/>
    <w:p/>
    <w:p/>
    <w:p/>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一、成安县政法委(本级)收支预算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562001成安县政法委(本级)</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377.45</w:t>
            </w:r>
          </w:p>
        </w:tc>
        <w:tc>
          <w:tcPr>
            <w:tcW w:w="4535" w:type="dxa"/>
            <w:vAlign w:val="center"/>
          </w:tcPr>
          <w:p>
            <w:pPr>
              <w:pStyle w:val="13"/>
            </w:pPr>
            <w:r>
              <w:t>一、一般公共服务支出</w:t>
            </w:r>
          </w:p>
        </w:tc>
        <w:tc>
          <w:tcPr>
            <w:tcW w:w="2126" w:type="dxa"/>
            <w:vAlign w:val="center"/>
          </w:tcPr>
          <w:p>
            <w:pPr>
              <w:pStyle w:val="12"/>
            </w:pPr>
            <w:r>
              <w:t>313.14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377.45</w:t>
            </w:r>
          </w:p>
        </w:tc>
        <w:tc>
          <w:tcPr>
            <w:tcW w:w="4535" w:type="dxa"/>
            <w:vAlign w:val="center"/>
          </w:tcPr>
          <w:p>
            <w:pPr>
              <w:pStyle w:val="15"/>
            </w:pPr>
            <w:r>
              <w:t>本年支出合计</w:t>
            </w:r>
          </w:p>
        </w:tc>
        <w:tc>
          <w:tcPr>
            <w:tcW w:w="2126" w:type="dxa"/>
            <w:vAlign w:val="center"/>
          </w:tcPr>
          <w:p>
            <w:pPr>
              <w:pStyle w:val="16"/>
            </w:pPr>
            <w:r>
              <w:t>377.45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377.45</w:t>
            </w:r>
          </w:p>
        </w:tc>
        <w:tc>
          <w:tcPr>
            <w:tcW w:w="4535" w:type="dxa"/>
            <w:vAlign w:val="center"/>
          </w:tcPr>
          <w:p>
            <w:pPr>
              <w:pStyle w:val="15"/>
            </w:pPr>
            <w:r>
              <w:t>支出总计</w:t>
            </w:r>
          </w:p>
        </w:tc>
        <w:tc>
          <w:tcPr>
            <w:tcW w:w="2126" w:type="dxa"/>
            <w:vAlign w:val="center"/>
          </w:tcPr>
          <w:p>
            <w:pPr>
              <w:pStyle w:val="16"/>
            </w:pPr>
            <w:r>
              <w:t>377.45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562001成安县政法委(本级)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377.45</w:t>
            </w:r>
          </w:p>
        </w:tc>
        <w:tc>
          <w:tcPr>
            <w:tcW w:w="1134" w:type="dxa"/>
            <w:vAlign w:val="center"/>
          </w:tcPr>
          <w:p>
            <w:pPr>
              <w:pStyle w:val="16"/>
            </w:pPr>
            <w:r>
              <w:t>377.45</w:t>
            </w:r>
          </w:p>
        </w:tc>
        <w:tc>
          <w:tcPr>
            <w:tcW w:w="1134" w:type="dxa"/>
            <w:vAlign w:val="center"/>
          </w:tcPr>
          <w:p>
            <w:pPr>
              <w:pStyle w:val="16"/>
            </w:pPr>
            <w:r>
              <w:t>377.45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313.14</w:t>
            </w:r>
          </w:p>
        </w:tc>
        <w:tc>
          <w:tcPr>
            <w:tcW w:w="1134" w:type="dxa"/>
            <w:vAlign w:val="center"/>
          </w:tcPr>
          <w:p>
            <w:pPr>
              <w:pStyle w:val="12"/>
            </w:pPr>
            <w:r>
              <w:t>313.14</w:t>
            </w:r>
          </w:p>
        </w:tc>
        <w:tc>
          <w:tcPr>
            <w:tcW w:w="1134" w:type="dxa"/>
            <w:vAlign w:val="center"/>
          </w:tcPr>
          <w:p>
            <w:pPr>
              <w:pStyle w:val="12"/>
            </w:pPr>
            <w:r>
              <w:t>313.14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183.42</w:t>
            </w:r>
          </w:p>
        </w:tc>
        <w:tc>
          <w:tcPr>
            <w:tcW w:w="1134" w:type="dxa"/>
            <w:vAlign w:val="center"/>
          </w:tcPr>
          <w:p>
            <w:pPr>
              <w:pStyle w:val="12"/>
            </w:pPr>
            <w:r>
              <w:t>183.42</w:t>
            </w:r>
          </w:p>
        </w:tc>
        <w:tc>
          <w:tcPr>
            <w:tcW w:w="1134" w:type="dxa"/>
            <w:vAlign w:val="center"/>
          </w:tcPr>
          <w:p>
            <w:pPr>
              <w:pStyle w:val="12"/>
            </w:pPr>
            <w:r>
              <w:t>183.42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183.42</w:t>
            </w:r>
          </w:p>
        </w:tc>
        <w:tc>
          <w:tcPr>
            <w:tcW w:w="1134" w:type="dxa"/>
            <w:vAlign w:val="center"/>
          </w:tcPr>
          <w:p>
            <w:pPr>
              <w:pStyle w:val="12"/>
            </w:pPr>
            <w:r>
              <w:t>183.42</w:t>
            </w:r>
          </w:p>
        </w:tc>
        <w:tc>
          <w:tcPr>
            <w:tcW w:w="1134" w:type="dxa"/>
            <w:vAlign w:val="center"/>
          </w:tcPr>
          <w:p>
            <w:pPr>
              <w:pStyle w:val="12"/>
            </w:pPr>
            <w:r>
              <w:t>183.42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129.72</w:t>
            </w:r>
          </w:p>
        </w:tc>
        <w:tc>
          <w:tcPr>
            <w:tcW w:w="1134" w:type="dxa"/>
            <w:vAlign w:val="center"/>
          </w:tcPr>
          <w:p>
            <w:pPr>
              <w:pStyle w:val="12"/>
            </w:pPr>
            <w:r>
              <w:t>129.72</w:t>
            </w:r>
          </w:p>
        </w:tc>
        <w:tc>
          <w:tcPr>
            <w:tcW w:w="1134" w:type="dxa"/>
            <w:vAlign w:val="center"/>
          </w:tcPr>
          <w:p>
            <w:pPr>
              <w:pStyle w:val="12"/>
            </w:pPr>
            <w:r>
              <w:t>129.72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2013602</w:t>
            </w:r>
          </w:p>
        </w:tc>
        <w:tc>
          <w:tcPr>
            <w:tcW w:w="1559" w:type="dxa"/>
            <w:vAlign w:val="center"/>
          </w:tcPr>
          <w:p>
            <w:pPr>
              <w:pStyle w:val="13"/>
            </w:pPr>
            <w:r>
              <w:t>一般行政管理事务</w:t>
            </w:r>
          </w:p>
        </w:tc>
        <w:tc>
          <w:tcPr>
            <w:tcW w:w="1134" w:type="dxa"/>
            <w:vAlign w:val="center"/>
          </w:tcPr>
          <w:p>
            <w:pPr>
              <w:pStyle w:val="12"/>
            </w:pPr>
            <w:r>
              <w:t>129.72</w:t>
            </w:r>
          </w:p>
        </w:tc>
        <w:tc>
          <w:tcPr>
            <w:tcW w:w="1134" w:type="dxa"/>
            <w:vAlign w:val="center"/>
          </w:tcPr>
          <w:p>
            <w:pPr>
              <w:pStyle w:val="12"/>
            </w:pPr>
            <w:r>
              <w:t>129.72</w:t>
            </w:r>
          </w:p>
        </w:tc>
        <w:tc>
          <w:tcPr>
            <w:tcW w:w="1134" w:type="dxa"/>
            <w:vAlign w:val="center"/>
          </w:tcPr>
          <w:p>
            <w:pPr>
              <w:pStyle w:val="12"/>
            </w:pPr>
            <w:r>
              <w:t>129.72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39.45</w:t>
            </w:r>
          </w:p>
        </w:tc>
        <w:tc>
          <w:tcPr>
            <w:tcW w:w="1134" w:type="dxa"/>
            <w:vAlign w:val="center"/>
          </w:tcPr>
          <w:p>
            <w:pPr>
              <w:pStyle w:val="12"/>
            </w:pPr>
            <w:r>
              <w:t>39.45</w:t>
            </w:r>
          </w:p>
        </w:tc>
        <w:tc>
          <w:tcPr>
            <w:tcW w:w="1134" w:type="dxa"/>
            <w:vAlign w:val="center"/>
          </w:tcPr>
          <w:p>
            <w:pPr>
              <w:pStyle w:val="12"/>
            </w:pPr>
            <w:r>
              <w:t>39.45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38.97</w:t>
            </w:r>
          </w:p>
        </w:tc>
        <w:tc>
          <w:tcPr>
            <w:tcW w:w="1134" w:type="dxa"/>
            <w:vAlign w:val="center"/>
          </w:tcPr>
          <w:p>
            <w:pPr>
              <w:pStyle w:val="12"/>
            </w:pPr>
            <w:r>
              <w:t>38.97</w:t>
            </w:r>
          </w:p>
        </w:tc>
        <w:tc>
          <w:tcPr>
            <w:tcW w:w="1134" w:type="dxa"/>
            <w:vAlign w:val="center"/>
          </w:tcPr>
          <w:p>
            <w:pPr>
              <w:pStyle w:val="12"/>
            </w:pPr>
            <w:r>
              <w:t>38.97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17.51</w:t>
            </w:r>
          </w:p>
        </w:tc>
        <w:tc>
          <w:tcPr>
            <w:tcW w:w="1134" w:type="dxa"/>
            <w:vAlign w:val="center"/>
          </w:tcPr>
          <w:p>
            <w:pPr>
              <w:pStyle w:val="12"/>
            </w:pPr>
            <w:r>
              <w:t>17.51</w:t>
            </w:r>
          </w:p>
        </w:tc>
        <w:tc>
          <w:tcPr>
            <w:tcW w:w="1134" w:type="dxa"/>
            <w:vAlign w:val="center"/>
          </w:tcPr>
          <w:p>
            <w:pPr>
              <w:pStyle w:val="12"/>
            </w:pPr>
            <w:r>
              <w:t>17.51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21.46</w:t>
            </w:r>
          </w:p>
        </w:tc>
        <w:tc>
          <w:tcPr>
            <w:tcW w:w="1134" w:type="dxa"/>
            <w:vAlign w:val="center"/>
          </w:tcPr>
          <w:p>
            <w:pPr>
              <w:pStyle w:val="12"/>
            </w:pPr>
            <w:r>
              <w:t>21.46</w:t>
            </w:r>
          </w:p>
        </w:tc>
        <w:tc>
          <w:tcPr>
            <w:tcW w:w="1134" w:type="dxa"/>
            <w:vAlign w:val="center"/>
          </w:tcPr>
          <w:p>
            <w:pPr>
              <w:pStyle w:val="12"/>
            </w:pPr>
            <w:r>
              <w:t>21.46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11</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0.48</w:t>
            </w:r>
          </w:p>
        </w:tc>
        <w:tc>
          <w:tcPr>
            <w:tcW w:w="1134" w:type="dxa"/>
            <w:vAlign w:val="center"/>
          </w:tcPr>
          <w:p>
            <w:pPr>
              <w:pStyle w:val="12"/>
            </w:pPr>
            <w:r>
              <w:t>0.48</w:t>
            </w:r>
          </w:p>
        </w:tc>
        <w:tc>
          <w:tcPr>
            <w:tcW w:w="1134" w:type="dxa"/>
            <w:vAlign w:val="center"/>
          </w:tcPr>
          <w:p>
            <w:pPr>
              <w:pStyle w:val="12"/>
            </w:pPr>
            <w:r>
              <w:t>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0.48</w:t>
            </w:r>
          </w:p>
        </w:tc>
        <w:tc>
          <w:tcPr>
            <w:tcW w:w="1134" w:type="dxa"/>
            <w:vAlign w:val="center"/>
          </w:tcPr>
          <w:p>
            <w:pPr>
              <w:pStyle w:val="12"/>
            </w:pPr>
            <w:r>
              <w:t>0.48</w:t>
            </w:r>
          </w:p>
        </w:tc>
        <w:tc>
          <w:tcPr>
            <w:tcW w:w="1134" w:type="dxa"/>
            <w:vAlign w:val="center"/>
          </w:tcPr>
          <w:p>
            <w:pPr>
              <w:pStyle w:val="12"/>
            </w:pPr>
            <w:r>
              <w:t>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14.76</w:t>
            </w:r>
          </w:p>
        </w:tc>
        <w:tc>
          <w:tcPr>
            <w:tcW w:w="1134" w:type="dxa"/>
            <w:vAlign w:val="center"/>
          </w:tcPr>
          <w:p>
            <w:pPr>
              <w:pStyle w:val="12"/>
            </w:pPr>
            <w:r>
              <w:t>14.76</w:t>
            </w:r>
          </w:p>
        </w:tc>
        <w:tc>
          <w:tcPr>
            <w:tcW w:w="1134" w:type="dxa"/>
            <w:vAlign w:val="center"/>
          </w:tcPr>
          <w:p>
            <w:pPr>
              <w:pStyle w:val="12"/>
            </w:pPr>
            <w:r>
              <w:t>14.76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14.76</w:t>
            </w:r>
          </w:p>
        </w:tc>
        <w:tc>
          <w:tcPr>
            <w:tcW w:w="1134" w:type="dxa"/>
            <w:vAlign w:val="center"/>
          </w:tcPr>
          <w:p>
            <w:pPr>
              <w:pStyle w:val="12"/>
            </w:pPr>
            <w:r>
              <w:t>14.76</w:t>
            </w:r>
          </w:p>
        </w:tc>
        <w:tc>
          <w:tcPr>
            <w:tcW w:w="1134" w:type="dxa"/>
            <w:vAlign w:val="center"/>
          </w:tcPr>
          <w:p>
            <w:pPr>
              <w:pStyle w:val="12"/>
            </w:pPr>
            <w:r>
              <w:t>14.76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14.76</w:t>
            </w:r>
          </w:p>
        </w:tc>
        <w:tc>
          <w:tcPr>
            <w:tcW w:w="1134" w:type="dxa"/>
            <w:vAlign w:val="center"/>
          </w:tcPr>
          <w:p>
            <w:pPr>
              <w:pStyle w:val="12"/>
            </w:pPr>
            <w:r>
              <w:t>14.76</w:t>
            </w:r>
          </w:p>
        </w:tc>
        <w:tc>
          <w:tcPr>
            <w:tcW w:w="1134" w:type="dxa"/>
            <w:vAlign w:val="center"/>
          </w:tcPr>
          <w:p>
            <w:pPr>
              <w:pStyle w:val="12"/>
            </w:pPr>
            <w:r>
              <w:t>14.76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562001成安县政法委(本级)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377.45</w:t>
            </w:r>
          </w:p>
        </w:tc>
        <w:tc>
          <w:tcPr>
            <w:tcW w:w="1361" w:type="dxa"/>
            <w:vAlign w:val="center"/>
          </w:tcPr>
          <w:p>
            <w:pPr>
              <w:pStyle w:val="16"/>
            </w:pPr>
            <w:r>
              <w:t>247.73</w:t>
            </w:r>
          </w:p>
        </w:tc>
        <w:tc>
          <w:tcPr>
            <w:tcW w:w="1361" w:type="dxa"/>
            <w:vAlign w:val="center"/>
          </w:tcPr>
          <w:p>
            <w:pPr>
              <w:pStyle w:val="16"/>
            </w:pPr>
            <w:r>
              <w:t>129.72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313.14</w:t>
            </w:r>
          </w:p>
        </w:tc>
        <w:tc>
          <w:tcPr>
            <w:tcW w:w="1361" w:type="dxa"/>
            <w:vAlign w:val="center"/>
          </w:tcPr>
          <w:p>
            <w:pPr>
              <w:pStyle w:val="12"/>
            </w:pPr>
            <w:r>
              <w:t>183.42</w:t>
            </w:r>
          </w:p>
        </w:tc>
        <w:tc>
          <w:tcPr>
            <w:tcW w:w="1361" w:type="dxa"/>
            <w:vAlign w:val="center"/>
          </w:tcPr>
          <w:p>
            <w:pPr>
              <w:pStyle w:val="12"/>
            </w:pPr>
            <w:r>
              <w:t>129.72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183.42</w:t>
            </w:r>
          </w:p>
        </w:tc>
        <w:tc>
          <w:tcPr>
            <w:tcW w:w="1361" w:type="dxa"/>
            <w:vAlign w:val="center"/>
          </w:tcPr>
          <w:p>
            <w:pPr>
              <w:pStyle w:val="12"/>
            </w:pPr>
            <w:r>
              <w:t>183.42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183.42</w:t>
            </w:r>
          </w:p>
        </w:tc>
        <w:tc>
          <w:tcPr>
            <w:tcW w:w="1361" w:type="dxa"/>
            <w:vAlign w:val="center"/>
          </w:tcPr>
          <w:p>
            <w:pPr>
              <w:pStyle w:val="12"/>
            </w:pPr>
            <w:r>
              <w:t>183.42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129.72</w:t>
            </w:r>
          </w:p>
        </w:tc>
        <w:tc>
          <w:tcPr>
            <w:tcW w:w="1361" w:type="dxa"/>
            <w:vAlign w:val="center"/>
          </w:tcPr>
          <w:p>
            <w:pPr>
              <w:pStyle w:val="12"/>
            </w:pPr>
          </w:p>
        </w:tc>
        <w:tc>
          <w:tcPr>
            <w:tcW w:w="1361" w:type="dxa"/>
            <w:vAlign w:val="center"/>
          </w:tcPr>
          <w:p>
            <w:pPr>
              <w:pStyle w:val="12"/>
            </w:pPr>
            <w:r>
              <w:t>129.72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2013602</w:t>
            </w:r>
          </w:p>
        </w:tc>
        <w:tc>
          <w:tcPr>
            <w:tcW w:w="4535" w:type="dxa"/>
            <w:vAlign w:val="center"/>
          </w:tcPr>
          <w:p>
            <w:pPr>
              <w:pStyle w:val="13"/>
            </w:pPr>
            <w:r>
              <w:t>一般行政管理事务</w:t>
            </w:r>
          </w:p>
        </w:tc>
        <w:tc>
          <w:tcPr>
            <w:tcW w:w="1361" w:type="dxa"/>
            <w:vAlign w:val="center"/>
          </w:tcPr>
          <w:p>
            <w:pPr>
              <w:pStyle w:val="12"/>
            </w:pPr>
            <w:r>
              <w:t>129.72</w:t>
            </w:r>
          </w:p>
        </w:tc>
        <w:tc>
          <w:tcPr>
            <w:tcW w:w="1361" w:type="dxa"/>
            <w:vAlign w:val="center"/>
          </w:tcPr>
          <w:p>
            <w:pPr>
              <w:pStyle w:val="12"/>
            </w:pPr>
          </w:p>
        </w:tc>
        <w:tc>
          <w:tcPr>
            <w:tcW w:w="1361" w:type="dxa"/>
            <w:vAlign w:val="center"/>
          </w:tcPr>
          <w:p>
            <w:pPr>
              <w:pStyle w:val="12"/>
            </w:pPr>
            <w:r>
              <w:t>129.72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39.45</w:t>
            </w:r>
          </w:p>
        </w:tc>
        <w:tc>
          <w:tcPr>
            <w:tcW w:w="1361" w:type="dxa"/>
            <w:vAlign w:val="center"/>
          </w:tcPr>
          <w:p>
            <w:pPr>
              <w:pStyle w:val="12"/>
            </w:pPr>
            <w:r>
              <w:t>39.45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38.97</w:t>
            </w:r>
          </w:p>
        </w:tc>
        <w:tc>
          <w:tcPr>
            <w:tcW w:w="1361" w:type="dxa"/>
            <w:vAlign w:val="center"/>
          </w:tcPr>
          <w:p>
            <w:pPr>
              <w:pStyle w:val="12"/>
            </w:pPr>
            <w:r>
              <w:t>38.97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17.51</w:t>
            </w:r>
          </w:p>
        </w:tc>
        <w:tc>
          <w:tcPr>
            <w:tcW w:w="1361" w:type="dxa"/>
            <w:vAlign w:val="center"/>
          </w:tcPr>
          <w:p>
            <w:pPr>
              <w:pStyle w:val="12"/>
            </w:pPr>
            <w:r>
              <w:t>17.51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21.46</w:t>
            </w:r>
          </w:p>
        </w:tc>
        <w:tc>
          <w:tcPr>
            <w:tcW w:w="1361" w:type="dxa"/>
            <w:vAlign w:val="center"/>
          </w:tcPr>
          <w:p>
            <w:pPr>
              <w:pStyle w:val="12"/>
            </w:pPr>
            <w:r>
              <w:t>21.46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20827</w:t>
            </w:r>
          </w:p>
        </w:tc>
        <w:tc>
          <w:tcPr>
            <w:tcW w:w="4535" w:type="dxa"/>
            <w:vAlign w:val="center"/>
          </w:tcPr>
          <w:p>
            <w:pPr>
              <w:pStyle w:val="13"/>
            </w:pPr>
            <w:r>
              <w:t>财政对其他社会保险基金的补助</w:t>
            </w:r>
          </w:p>
        </w:tc>
        <w:tc>
          <w:tcPr>
            <w:tcW w:w="1361" w:type="dxa"/>
            <w:vAlign w:val="center"/>
          </w:tcPr>
          <w:p>
            <w:pPr>
              <w:pStyle w:val="12"/>
            </w:pPr>
            <w:r>
              <w:t>0.48</w:t>
            </w:r>
          </w:p>
        </w:tc>
        <w:tc>
          <w:tcPr>
            <w:tcW w:w="1361" w:type="dxa"/>
            <w:vAlign w:val="center"/>
          </w:tcPr>
          <w:p>
            <w:pPr>
              <w:pStyle w:val="12"/>
            </w:pPr>
            <w:r>
              <w:t>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2082702</w:t>
            </w:r>
          </w:p>
        </w:tc>
        <w:tc>
          <w:tcPr>
            <w:tcW w:w="4535" w:type="dxa"/>
            <w:vAlign w:val="center"/>
          </w:tcPr>
          <w:p>
            <w:pPr>
              <w:pStyle w:val="13"/>
            </w:pPr>
            <w:r>
              <w:t>财政对工伤保险基金的补助</w:t>
            </w:r>
          </w:p>
        </w:tc>
        <w:tc>
          <w:tcPr>
            <w:tcW w:w="1361" w:type="dxa"/>
            <w:vAlign w:val="center"/>
          </w:tcPr>
          <w:p>
            <w:pPr>
              <w:pStyle w:val="12"/>
            </w:pPr>
            <w:r>
              <w:t>0.48</w:t>
            </w:r>
          </w:p>
        </w:tc>
        <w:tc>
          <w:tcPr>
            <w:tcW w:w="1361" w:type="dxa"/>
            <w:vAlign w:val="center"/>
          </w:tcPr>
          <w:p>
            <w:pPr>
              <w:pStyle w:val="12"/>
            </w:pPr>
            <w:r>
              <w:t>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10.10</w:t>
            </w: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0.10</w:t>
            </w:r>
          </w:p>
        </w:tc>
        <w:tc>
          <w:tcPr>
            <w:tcW w:w="1361" w:type="dxa"/>
            <w:vAlign w:val="center"/>
          </w:tcPr>
          <w:p>
            <w:pPr>
              <w:pStyle w:val="12"/>
            </w:pPr>
            <w:r>
              <w:t>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0.10</w:t>
            </w:r>
          </w:p>
        </w:tc>
        <w:tc>
          <w:tcPr>
            <w:tcW w:w="1361" w:type="dxa"/>
            <w:vAlign w:val="center"/>
          </w:tcPr>
          <w:p>
            <w:pPr>
              <w:pStyle w:val="12"/>
            </w:pPr>
            <w:r>
              <w:t>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10.00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10.00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14.76</w:t>
            </w:r>
          </w:p>
        </w:tc>
        <w:tc>
          <w:tcPr>
            <w:tcW w:w="1361" w:type="dxa"/>
            <w:vAlign w:val="center"/>
          </w:tcPr>
          <w:p>
            <w:pPr>
              <w:pStyle w:val="12"/>
            </w:pPr>
            <w:r>
              <w:t>14.76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14.76</w:t>
            </w:r>
          </w:p>
        </w:tc>
        <w:tc>
          <w:tcPr>
            <w:tcW w:w="1361" w:type="dxa"/>
            <w:vAlign w:val="center"/>
          </w:tcPr>
          <w:p>
            <w:pPr>
              <w:pStyle w:val="12"/>
            </w:pPr>
            <w:r>
              <w:t>14.76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14.76</w:t>
            </w:r>
          </w:p>
        </w:tc>
        <w:tc>
          <w:tcPr>
            <w:tcW w:w="1361" w:type="dxa"/>
            <w:vAlign w:val="center"/>
          </w:tcPr>
          <w:p>
            <w:pPr>
              <w:pStyle w:val="12"/>
            </w:pPr>
            <w:r>
              <w:t>14.76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562001成安县政法委(本级)</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377.45</w:t>
            </w:r>
          </w:p>
        </w:tc>
        <w:tc>
          <w:tcPr>
            <w:tcW w:w="3402" w:type="dxa"/>
            <w:vAlign w:val="center"/>
          </w:tcPr>
          <w:p>
            <w:pPr>
              <w:pStyle w:val="13"/>
            </w:pPr>
            <w:r>
              <w:t>一、一般公共服务支出</w:t>
            </w:r>
          </w:p>
        </w:tc>
        <w:tc>
          <w:tcPr>
            <w:tcW w:w="1474" w:type="dxa"/>
            <w:vAlign w:val="center"/>
          </w:tcPr>
          <w:p>
            <w:pPr>
              <w:pStyle w:val="12"/>
            </w:pPr>
            <w:r>
              <w:t>313.14</w:t>
            </w:r>
          </w:p>
        </w:tc>
        <w:tc>
          <w:tcPr>
            <w:tcW w:w="1474" w:type="dxa"/>
            <w:vAlign w:val="center"/>
          </w:tcPr>
          <w:p>
            <w:pPr>
              <w:pStyle w:val="12"/>
            </w:pPr>
            <w:r>
              <w:t>313.14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39.45</w:t>
            </w:r>
          </w:p>
        </w:tc>
        <w:tc>
          <w:tcPr>
            <w:tcW w:w="1474" w:type="dxa"/>
            <w:vAlign w:val="center"/>
          </w:tcPr>
          <w:p>
            <w:pPr>
              <w:pStyle w:val="12"/>
            </w:pPr>
            <w:r>
              <w:t>39.45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10.10</w:t>
            </w:r>
          </w:p>
        </w:tc>
        <w:tc>
          <w:tcPr>
            <w:tcW w:w="1474" w:type="dxa"/>
            <w:vAlign w:val="center"/>
          </w:tcPr>
          <w:p>
            <w:pPr>
              <w:pStyle w:val="12"/>
            </w:pPr>
            <w:r>
              <w:t>10.10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14.76</w:t>
            </w:r>
          </w:p>
        </w:tc>
        <w:tc>
          <w:tcPr>
            <w:tcW w:w="1474" w:type="dxa"/>
            <w:vAlign w:val="center"/>
          </w:tcPr>
          <w:p>
            <w:pPr>
              <w:pStyle w:val="12"/>
            </w:pPr>
            <w:r>
              <w:t>14.76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377.45</w:t>
            </w:r>
          </w:p>
        </w:tc>
        <w:tc>
          <w:tcPr>
            <w:tcW w:w="3402" w:type="dxa"/>
            <w:vAlign w:val="center"/>
          </w:tcPr>
          <w:p>
            <w:pPr>
              <w:pStyle w:val="15"/>
            </w:pPr>
            <w:r>
              <w:t>本年支出合计</w:t>
            </w:r>
          </w:p>
        </w:tc>
        <w:tc>
          <w:tcPr>
            <w:tcW w:w="1474" w:type="dxa"/>
            <w:vAlign w:val="center"/>
          </w:tcPr>
          <w:p>
            <w:pPr>
              <w:pStyle w:val="16"/>
            </w:pPr>
            <w:r>
              <w:t>377.45</w:t>
            </w:r>
          </w:p>
        </w:tc>
        <w:tc>
          <w:tcPr>
            <w:tcW w:w="1474" w:type="dxa"/>
            <w:vAlign w:val="center"/>
          </w:tcPr>
          <w:p>
            <w:pPr>
              <w:pStyle w:val="16"/>
            </w:pPr>
            <w:r>
              <w:t>377.45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377.45</w:t>
            </w:r>
          </w:p>
        </w:tc>
        <w:tc>
          <w:tcPr>
            <w:tcW w:w="3402" w:type="dxa"/>
            <w:vAlign w:val="center"/>
          </w:tcPr>
          <w:p>
            <w:pPr>
              <w:pStyle w:val="15"/>
            </w:pPr>
            <w:r>
              <w:t>支出总计</w:t>
            </w:r>
          </w:p>
        </w:tc>
        <w:tc>
          <w:tcPr>
            <w:tcW w:w="1474" w:type="dxa"/>
            <w:vAlign w:val="center"/>
          </w:tcPr>
          <w:p>
            <w:pPr>
              <w:pStyle w:val="16"/>
            </w:pPr>
            <w:r>
              <w:t>377.45</w:t>
            </w:r>
          </w:p>
        </w:tc>
        <w:tc>
          <w:tcPr>
            <w:tcW w:w="1474" w:type="dxa"/>
            <w:vAlign w:val="center"/>
          </w:tcPr>
          <w:p>
            <w:pPr>
              <w:pStyle w:val="16"/>
            </w:pPr>
            <w:r>
              <w:t>377.45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562001成安县政法委(本级)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377.45</w:t>
            </w:r>
          </w:p>
        </w:tc>
        <w:tc>
          <w:tcPr>
            <w:tcW w:w="2551" w:type="dxa"/>
            <w:vAlign w:val="center"/>
          </w:tcPr>
          <w:p>
            <w:pPr>
              <w:pStyle w:val="16"/>
            </w:pPr>
            <w:r>
              <w:t>247.73</w:t>
            </w:r>
          </w:p>
        </w:tc>
        <w:tc>
          <w:tcPr>
            <w:tcW w:w="2551" w:type="dxa"/>
            <w:vAlign w:val="center"/>
          </w:tcPr>
          <w:p>
            <w:pPr>
              <w:pStyle w:val="16"/>
            </w:pPr>
            <w:r>
              <w:t>129.72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313.14</w:t>
            </w:r>
          </w:p>
        </w:tc>
        <w:tc>
          <w:tcPr>
            <w:tcW w:w="2551" w:type="dxa"/>
            <w:vAlign w:val="center"/>
          </w:tcPr>
          <w:p>
            <w:pPr>
              <w:pStyle w:val="12"/>
            </w:pPr>
            <w:r>
              <w:t>183.42</w:t>
            </w:r>
          </w:p>
        </w:tc>
        <w:tc>
          <w:tcPr>
            <w:tcW w:w="2551" w:type="dxa"/>
            <w:vAlign w:val="center"/>
          </w:tcPr>
          <w:p>
            <w:pPr>
              <w:pStyle w:val="12"/>
            </w:pPr>
            <w:r>
              <w:t>129.72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183.42</w:t>
            </w:r>
          </w:p>
        </w:tc>
        <w:tc>
          <w:tcPr>
            <w:tcW w:w="2551" w:type="dxa"/>
            <w:vAlign w:val="center"/>
          </w:tcPr>
          <w:p>
            <w:pPr>
              <w:pStyle w:val="12"/>
            </w:pPr>
            <w:r>
              <w:t>183.42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183.42</w:t>
            </w:r>
          </w:p>
        </w:tc>
        <w:tc>
          <w:tcPr>
            <w:tcW w:w="2551" w:type="dxa"/>
            <w:vAlign w:val="center"/>
          </w:tcPr>
          <w:p>
            <w:pPr>
              <w:pStyle w:val="12"/>
            </w:pPr>
            <w:r>
              <w:t>183.42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129.72</w:t>
            </w:r>
          </w:p>
        </w:tc>
        <w:tc>
          <w:tcPr>
            <w:tcW w:w="2551" w:type="dxa"/>
            <w:vAlign w:val="center"/>
          </w:tcPr>
          <w:p>
            <w:pPr>
              <w:pStyle w:val="12"/>
            </w:pPr>
          </w:p>
        </w:tc>
        <w:tc>
          <w:tcPr>
            <w:tcW w:w="2551" w:type="dxa"/>
            <w:vAlign w:val="center"/>
          </w:tcPr>
          <w:p>
            <w:pPr>
              <w:pStyle w:val="12"/>
            </w:pPr>
            <w:r>
              <w:t>129.72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2013602</w:t>
            </w:r>
          </w:p>
        </w:tc>
        <w:tc>
          <w:tcPr>
            <w:tcW w:w="4535" w:type="dxa"/>
            <w:vAlign w:val="center"/>
          </w:tcPr>
          <w:p>
            <w:pPr>
              <w:pStyle w:val="13"/>
            </w:pPr>
            <w:r>
              <w:t>一般行政管理事务</w:t>
            </w:r>
          </w:p>
        </w:tc>
        <w:tc>
          <w:tcPr>
            <w:tcW w:w="2551" w:type="dxa"/>
            <w:vAlign w:val="center"/>
          </w:tcPr>
          <w:p>
            <w:pPr>
              <w:pStyle w:val="12"/>
            </w:pPr>
            <w:r>
              <w:t>129.72</w:t>
            </w:r>
          </w:p>
        </w:tc>
        <w:tc>
          <w:tcPr>
            <w:tcW w:w="2551" w:type="dxa"/>
            <w:vAlign w:val="center"/>
          </w:tcPr>
          <w:p>
            <w:pPr>
              <w:pStyle w:val="12"/>
            </w:pPr>
          </w:p>
        </w:tc>
        <w:tc>
          <w:tcPr>
            <w:tcW w:w="2551" w:type="dxa"/>
            <w:vAlign w:val="center"/>
          </w:tcPr>
          <w:p>
            <w:pPr>
              <w:pStyle w:val="12"/>
            </w:pPr>
            <w:r>
              <w:t>129.72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39.45</w:t>
            </w:r>
          </w:p>
        </w:tc>
        <w:tc>
          <w:tcPr>
            <w:tcW w:w="2551" w:type="dxa"/>
            <w:vAlign w:val="center"/>
          </w:tcPr>
          <w:p>
            <w:pPr>
              <w:pStyle w:val="12"/>
            </w:pPr>
            <w:r>
              <w:t>39.45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38.97</w:t>
            </w:r>
          </w:p>
        </w:tc>
        <w:tc>
          <w:tcPr>
            <w:tcW w:w="2551" w:type="dxa"/>
            <w:vAlign w:val="center"/>
          </w:tcPr>
          <w:p>
            <w:pPr>
              <w:pStyle w:val="12"/>
            </w:pPr>
            <w:r>
              <w:t>38.97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17.51</w:t>
            </w:r>
          </w:p>
        </w:tc>
        <w:tc>
          <w:tcPr>
            <w:tcW w:w="2551" w:type="dxa"/>
            <w:vAlign w:val="center"/>
          </w:tcPr>
          <w:p>
            <w:pPr>
              <w:pStyle w:val="12"/>
            </w:pPr>
            <w:r>
              <w:t>17.51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21.46</w:t>
            </w:r>
          </w:p>
        </w:tc>
        <w:tc>
          <w:tcPr>
            <w:tcW w:w="2551" w:type="dxa"/>
            <w:vAlign w:val="center"/>
          </w:tcPr>
          <w:p>
            <w:pPr>
              <w:pStyle w:val="12"/>
            </w:pPr>
            <w:r>
              <w:t>21.46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0.48</w:t>
            </w:r>
          </w:p>
        </w:tc>
        <w:tc>
          <w:tcPr>
            <w:tcW w:w="2551" w:type="dxa"/>
            <w:vAlign w:val="center"/>
          </w:tcPr>
          <w:p>
            <w:pPr>
              <w:pStyle w:val="12"/>
            </w:pPr>
            <w:r>
              <w:t>0.48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0.48</w:t>
            </w:r>
          </w:p>
        </w:tc>
        <w:tc>
          <w:tcPr>
            <w:tcW w:w="2551" w:type="dxa"/>
            <w:vAlign w:val="center"/>
          </w:tcPr>
          <w:p>
            <w:pPr>
              <w:pStyle w:val="12"/>
            </w:pPr>
            <w:r>
              <w:t>0.48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10.10</w:t>
            </w:r>
          </w:p>
        </w:tc>
        <w:tc>
          <w:tcPr>
            <w:tcW w:w="2551" w:type="dxa"/>
            <w:vAlign w:val="center"/>
          </w:tcPr>
          <w:p>
            <w:pPr>
              <w:pStyle w:val="12"/>
            </w:pPr>
            <w:r>
              <w:t>10.10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0.10</w:t>
            </w:r>
          </w:p>
        </w:tc>
        <w:tc>
          <w:tcPr>
            <w:tcW w:w="2551" w:type="dxa"/>
            <w:vAlign w:val="center"/>
          </w:tcPr>
          <w:p>
            <w:pPr>
              <w:pStyle w:val="12"/>
            </w:pPr>
            <w:r>
              <w:t>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0.10</w:t>
            </w:r>
          </w:p>
        </w:tc>
        <w:tc>
          <w:tcPr>
            <w:tcW w:w="2551" w:type="dxa"/>
            <w:vAlign w:val="center"/>
          </w:tcPr>
          <w:p>
            <w:pPr>
              <w:pStyle w:val="12"/>
            </w:pPr>
            <w:r>
              <w:t>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14.76</w:t>
            </w:r>
          </w:p>
        </w:tc>
        <w:tc>
          <w:tcPr>
            <w:tcW w:w="2551" w:type="dxa"/>
            <w:vAlign w:val="center"/>
          </w:tcPr>
          <w:p>
            <w:pPr>
              <w:pStyle w:val="12"/>
            </w:pPr>
            <w:r>
              <w:t>14.76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14.76</w:t>
            </w:r>
          </w:p>
        </w:tc>
        <w:tc>
          <w:tcPr>
            <w:tcW w:w="2551" w:type="dxa"/>
            <w:vAlign w:val="center"/>
          </w:tcPr>
          <w:p>
            <w:pPr>
              <w:pStyle w:val="12"/>
            </w:pPr>
            <w:r>
              <w:t>14.76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14.76</w:t>
            </w:r>
          </w:p>
        </w:tc>
        <w:tc>
          <w:tcPr>
            <w:tcW w:w="2551" w:type="dxa"/>
            <w:vAlign w:val="center"/>
          </w:tcPr>
          <w:p>
            <w:pPr>
              <w:pStyle w:val="12"/>
            </w:pPr>
            <w:r>
              <w:t>14.76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562001成安县政法委(本级)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247.73</w:t>
            </w:r>
          </w:p>
        </w:tc>
        <w:tc>
          <w:tcPr>
            <w:tcW w:w="2551" w:type="dxa"/>
            <w:vAlign w:val="center"/>
          </w:tcPr>
          <w:p>
            <w:pPr>
              <w:pStyle w:val="16"/>
            </w:pPr>
            <w:r>
              <w:t>221.63</w:t>
            </w:r>
          </w:p>
        </w:tc>
        <w:tc>
          <w:tcPr>
            <w:tcW w:w="2551" w:type="dxa"/>
            <w:vAlign w:val="center"/>
          </w:tcPr>
          <w:p>
            <w:pPr>
              <w:pStyle w:val="16"/>
            </w:pPr>
            <w:r>
              <w:t>26.10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204.12</w:t>
            </w:r>
          </w:p>
        </w:tc>
        <w:tc>
          <w:tcPr>
            <w:tcW w:w="2551" w:type="dxa"/>
            <w:vAlign w:val="center"/>
          </w:tcPr>
          <w:p>
            <w:pPr>
              <w:pStyle w:val="12"/>
            </w:pPr>
            <w:r>
              <w:t>204.12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83.56</w:t>
            </w:r>
          </w:p>
        </w:tc>
        <w:tc>
          <w:tcPr>
            <w:tcW w:w="2551" w:type="dxa"/>
            <w:vAlign w:val="center"/>
          </w:tcPr>
          <w:p>
            <w:pPr>
              <w:pStyle w:val="12"/>
            </w:pPr>
            <w:r>
              <w:t>83.56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33.07</w:t>
            </w:r>
          </w:p>
        </w:tc>
        <w:tc>
          <w:tcPr>
            <w:tcW w:w="2551" w:type="dxa"/>
            <w:vAlign w:val="center"/>
          </w:tcPr>
          <w:p>
            <w:pPr>
              <w:pStyle w:val="12"/>
            </w:pPr>
            <w:r>
              <w:t>33.07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21.43</w:t>
            </w:r>
          </w:p>
        </w:tc>
        <w:tc>
          <w:tcPr>
            <w:tcW w:w="2551" w:type="dxa"/>
            <w:vAlign w:val="center"/>
          </w:tcPr>
          <w:p>
            <w:pPr>
              <w:pStyle w:val="12"/>
            </w:pPr>
            <w:r>
              <w:t>21.43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19.26</w:t>
            </w:r>
          </w:p>
        </w:tc>
        <w:tc>
          <w:tcPr>
            <w:tcW w:w="2551" w:type="dxa"/>
            <w:vAlign w:val="center"/>
          </w:tcPr>
          <w:p>
            <w:pPr>
              <w:pStyle w:val="12"/>
            </w:pPr>
            <w:r>
              <w:t>19.26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21.46</w:t>
            </w:r>
          </w:p>
        </w:tc>
        <w:tc>
          <w:tcPr>
            <w:tcW w:w="2551" w:type="dxa"/>
            <w:vAlign w:val="center"/>
          </w:tcPr>
          <w:p>
            <w:pPr>
              <w:pStyle w:val="12"/>
            </w:pPr>
            <w:r>
              <w:t>21.46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10.10</w:t>
            </w:r>
          </w:p>
        </w:tc>
        <w:tc>
          <w:tcPr>
            <w:tcW w:w="2551" w:type="dxa"/>
            <w:vAlign w:val="center"/>
          </w:tcPr>
          <w:p>
            <w:pPr>
              <w:pStyle w:val="12"/>
            </w:pPr>
            <w:r>
              <w:t>10.10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0.48</w:t>
            </w:r>
          </w:p>
        </w:tc>
        <w:tc>
          <w:tcPr>
            <w:tcW w:w="2551" w:type="dxa"/>
            <w:vAlign w:val="center"/>
          </w:tcPr>
          <w:p>
            <w:pPr>
              <w:pStyle w:val="12"/>
            </w:pPr>
            <w:r>
              <w:t>0.48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14.76</w:t>
            </w:r>
          </w:p>
        </w:tc>
        <w:tc>
          <w:tcPr>
            <w:tcW w:w="2551" w:type="dxa"/>
            <w:vAlign w:val="center"/>
          </w:tcPr>
          <w:p>
            <w:pPr>
              <w:pStyle w:val="12"/>
            </w:pPr>
            <w:r>
              <w:t>14.76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26.10</w:t>
            </w:r>
          </w:p>
        </w:tc>
        <w:tc>
          <w:tcPr>
            <w:tcW w:w="2551" w:type="dxa"/>
            <w:vAlign w:val="center"/>
          </w:tcPr>
          <w:p>
            <w:pPr>
              <w:pStyle w:val="12"/>
            </w:pPr>
          </w:p>
        </w:tc>
        <w:tc>
          <w:tcPr>
            <w:tcW w:w="2551" w:type="dxa"/>
            <w:vAlign w:val="center"/>
          </w:tcPr>
          <w:p>
            <w:pPr>
              <w:pStyle w:val="12"/>
            </w:pPr>
            <w:r>
              <w:t>26.10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8.10</w:t>
            </w:r>
          </w:p>
        </w:tc>
        <w:tc>
          <w:tcPr>
            <w:tcW w:w="2551" w:type="dxa"/>
            <w:vAlign w:val="center"/>
          </w:tcPr>
          <w:p>
            <w:pPr>
              <w:pStyle w:val="12"/>
            </w:pPr>
          </w:p>
        </w:tc>
        <w:tc>
          <w:tcPr>
            <w:tcW w:w="2551" w:type="dxa"/>
            <w:vAlign w:val="center"/>
          </w:tcPr>
          <w:p>
            <w:pPr>
              <w:pStyle w:val="12"/>
            </w:pPr>
            <w:r>
              <w:t>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17.51</w:t>
            </w:r>
          </w:p>
        </w:tc>
        <w:tc>
          <w:tcPr>
            <w:tcW w:w="2551" w:type="dxa"/>
            <w:vAlign w:val="center"/>
          </w:tcPr>
          <w:p>
            <w:pPr>
              <w:pStyle w:val="12"/>
            </w:pPr>
            <w:r>
              <w:t>17.51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17.51</w:t>
            </w:r>
          </w:p>
        </w:tc>
        <w:tc>
          <w:tcPr>
            <w:tcW w:w="2551" w:type="dxa"/>
            <w:vAlign w:val="center"/>
          </w:tcPr>
          <w:p>
            <w:pPr>
              <w:pStyle w:val="12"/>
            </w:pPr>
            <w:r>
              <w:t>17.51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562001成安县政法委(本级)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562001成安县政法委(本级)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562001成安县政法委(本级)</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成安县政法委(本级)2025年单位预算信息公开情况说明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按照《中华人民共和国预算法》、《地方预决算公开操作规程》和《关于进一步推进预算公开工作的实施意见》规定，现将成安县政法委(本级)2025年单位预算公开如下：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1.根据党中央的路线、方针、政策和县委部署，统一政法部门的思想和行动。</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2.研究制定全县政法工作和社会治安综合治理工作具体政策措施，及时向县委提出建议，对一定时期内的政法工作和社会综合治理工作，作出全局性部署，并督促贯彻落实。</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3.监督和支持政法部门依法行使职权，指导和协调政法部门在依法相互制约的同时密切配合，研究和讨论有争议的重大、疑难案件，参与大案要案的指导和监督工作。检查政法部门执行法律法规和党的方针、政策情况，结合实际，研究制定严肃执法，落实党的方针政策的具体措施。</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4.组织协调和指导维护社会稳定的工作。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5.组织、协调社会治安综合治理工作，推动各项措施的落实。</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6.推动政法工作重大政策法律问题的调查研究，推进政法工作改革。</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7.按照县委的规定，协助党委及其组织部门考察、管理政法部门的领导干部，研究加强政法队伍建设和领导班子建设的措施。</w:t>
      </w:r>
    </w:p>
    <w:p>
      <w:pPr>
        <w:pStyle w:val="18"/>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8.办理县委和上级政法机关交办的其他事项。</w:t>
      </w:r>
    </w:p>
    <w:p>
      <w:pPr>
        <w:pStyle w:val="18"/>
        <w:rPr>
          <w:rFonts w:hint="eastAsia" w:ascii="Times New Roman" w:hAnsi="Times New Roman" w:eastAsia="方正仿宋_GBK" w:cs="Times New Roman"/>
          <w:color w:val="000000"/>
          <w:kern w:val="0"/>
          <w:sz w:val="28"/>
          <w:lang w:eastAsia="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成安县政法委(本级)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7"/>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按照预算管理有关规定，目前我省</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预算的编制实行综合预算管理，即全部收入和支出都反映在预算中。成安县</w:t>
      </w:r>
      <w:r>
        <w:rPr>
          <w:rFonts w:hint="eastAsia" w:cs="Times New Roman"/>
          <w:color w:val="000000"/>
          <w:sz w:val="28"/>
          <w:lang w:val="en-US" w:eastAsia="zh-CN"/>
        </w:rPr>
        <w:t>政法委</w:t>
      </w:r>
      <w:r>
        <w:rPr>
          <w:rFonts w:hint="eastAsia" w:ascii="Times New Roman" w:hAnsi="Times New Roman" w:eastAsia="方正仿宋_GBK" w:cs="Times New Roman"/>
          <w:color w:val="000000"/>
          <w:sz w:val="28"/>
        </w:rPr>
        <w:t>的收支包含在部门预算中。</w:t>
      </w:r>
    </w:p>
    <w:p>
      <w:pPr>
        <w:pStyle w:val="27"/>
        <w:rPr>
          <w:rFonts w:hint="eastAsia" w:ascii="黑体" w:hAnsi="黑体" w:eastAsia="黑体" w:cs="黑体"/>
          <w:color w:val="000000"/>
          <w:sz w:val="32"/>
        </w:rPr>
      </w:pPr>
      <w:r>
        <w:rPr>
          <w:rFonts w:hint="eastAsia" w:ascii="Times New Roman" w:hAnsi="Times New Roman" w:eastAsia="方正仿宋_GBK" w:cs="Times New Roman"/>
          <w:color w:val="000000"/>
          <w:sz w:val="28"/>
        </w:rPr>
        <w:t>按照预算管理有关规定，目前我</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预算的编制实行综合预算制度，即全部收入和支出都反映在预算中。</w:t>
      </w:r>
    </w:p>
    <w:p>
      <w:pPr>
        <w:pStyle w:val="27"/>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pStyle w:val="27"/>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5</w:t>
      </w:r>
      <w:r>
        <w:rPr>
          <w:rFonts w:hint="eastAsia" w:ascii="Times New Roman" w:hAnsi="Times New Roman" w:eastAsia="方正仿宋_GBK" w:cs="Times New Roman"/>
          <w:color w:val="000000"/>
          <w:sz w:val="28"/>
        </w:rPr>
        <w:t>年预算收入</w:t>
      </w:r>
      <w:r>
        <w:rPr>
          <w:rFonts w:hint="eastAsia" w:cs="Times New Roman"/>
          <w:color w:val="000000"/>
          <w:sz w:val="28"/>
          <w:lang w:val="en-US" w:eastAsia="zh-CN"/>
        </w:rPr>
        <w:t>377.45</w:t>
      </w:r>
      <w:r>
        <w:rPr>
          <w:rFonts w:hint="eastAsia" w:ascii="Times New Roman" w:hAnsi="Times New Roman" w:eastAsia="方正仿宋_GBK" w:cs="Times New Roman"/>
          <w:color w:val="000000"/>
          <w:sz w:val="28"/>
        </w:rPr>
        <w:t>万元，其中：一般公共预算收入</w:t>
      </w:r>
      <w:r>
        <w:rPr>
          <w:rFonts w:hint="eastAsia" w:cs="Times New Roman"/>
          <w:color w:val="000000"/>
          <w:sz w:val="28"/>
          <w:lang w:val="en-US" w:eastAsia="zh-CN"/>
        </w:rPr>
        <w:t>377.45</w:t>
      </w:r>
      <w:r>
        <w:rPr>
          <w:rFonts w:hint="eastAsia" w:ascii="Times New Roman" w:hAnsi="Times New Roman" w:eastAsia="方正仿宋_GBK" w:cs="Times New Roman"/>
          <w:color w:val="000000"/>
          <w:sz w:val="28"/>
        </w:rPr>
        <w:t>万元。政府性基金收入0万元，国有资本经营收入0万元，事业收入0万元，其他收入0万元。</w:t>
      </w:r>
    </w:p>
    <w:p>
      <w:pPr>
        <w:pStyle w:val="27"/>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pStyle w:val="27"/>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5</w:t>
      </w:r>
      <w:r>
        <w:rPr>
          <w:rFonts w:hint="eastAsia" w:ascii="Times New Roman" w:hAnsi="Times New Roman" w:eastAsia="方正仿宋_GBK" w:cs="Times New Roman"/>
          <w:color w:val="000000"/>
          <w:sz w:val="28"/>
        </w:rPr>
        <w:t>年支出预算</w:t>
      </w:r>
      <w:r>
        <w:rPr>
          <w:rFonts w:hint="eastAsia" w:cs="Times New Roman"/>
          <w:color w:val="000000"/>
          <w:sz w:val="28"/>
          <w:lang w:val="en-US" w:eastAsia="zh-CN"/>
        </w:rPr>
        <w:t>377.45</w:t>
      </w:r>
      <w:r>
        <w:rPr>
          <w:rFonts w:hint="eastAsia" w:ascii="Times New Roman" w:hAnsi="Times New Roman" w:eastAsia="方正仿宋_GBK" w:cs="Times New Roman"/>
          <w:color w:val="000000"/>
          <w:sz w:val="28"/>
        </w:rPr>
        <w:t>万元，其中基本支出</w:t>
      </w:r>
      <w:r>
        <w:rPr>
          <w:rFonts w:hint="eastAsia" w:cs="Times New Roman"/>
          <w:color w:val="000000"/>
          <w:sz w:val="28"/>
          <w:lang w:val="en-US" w:eastAsia="zh-CN"/>
        </w:rPr>
        <w:t>247.73</w:t>
      </w:r>
      <w:r>
        <w:rPr>
          <w:rFonts w:hint="eastAsia" w:ascii="Times New Roman" w:hAnsi="Times New Roman" w:eastAsia="方正仿宋_GBK" w:cs="Times New Roman"/>
          <w:color w:val="000000"/>
          <w:sz w:val="28"/>
        </w:rPr>
        <w:t>万元，包括人员经费</w:t>
      </w:r>
      <w:r>
        <w:rPr>
          <w:rFonts w:hint="eastAsia" w:cs="Times New Roman"/>
          <w:color w:val="000000"/>
          <w:sz w:val="28"/>
          <w:lang w:val="en-US" w:eastAsia="zh-CN"/>
        </w:rPr>
        <w:t>221.63</w:t>
      </w:r>
      <w:r>
        <w:rPr>
          <w:rFonts w:hint="eastAsia" w:ascii="Times New Roman" w:hAnsi="Times New Roman" w:eastAsia="方正仿宋_GBK" w:cs="Times New Roman"/>
          <w:color w:val="000000"/>
          <w:sz w:val="28"/>
        </w:rPr>
        <w:t>万元和日常公用经费</w:t>
      </w:r>
      <w:r>
        <w:rPr>
          <w:rFonts w:hint="eastAsia" w:cs="Times New Roman"/>
          <w:color w:val="000000"/>
          <w:sz w:val="28"/>
          <w:lang w:val="en-US" w:eastAsia="zh-CN"/>
        </w:rPr>
        <w:t>26.1</w:t>
      </w:r>
      <w:r>
        <w:rPr>
          <w:rFonts w:hint="eastAsia" w:ascii="Times New Roman" w:hAnsi="Times New Roman" w:eastAsia="方正仿宋_GBK" w:cs="Times New Roman"/>
          <w:color w:val="000000"/>
          <w:sz w:val="28"/>
        </w:rPr>
        <w:t>万元。项目支出</w:t>
      </w:r>
      <w:r>
        <w:rPr>
          <w:rFonts w:hint="eastAsia" w:cs="Times New Roman"/>
          <w:color w:val="000000"/>
          <w:sz w:val="28"/>
          <w:lang w:val="en-US" w:eastAsia="zh-CN"/>
        </w:rPr>
        <w:t>129.72</w:t>
      </w:r>
      <w:r>
        <w:rPr>
          <w:rFonts w:hint="eastAsia" w:ascii="Times New Roman" w:hAnsi="Times New Roman" w:eastAsia="方正仿宋_GBK" w:cs="Times New Roman"/>
          <w:color w:val="000000"/>
          <w:sz w:val="28"/>
        </w:rPr>
        <w:t>万元，主要是</w:t>
      </w:r>
      <w:r>
        <w:rPr>
          <w:rFonts w:hint="eastAsia" w:ascii="Times New Roman" w:hAnsi="Times New Roman" w:eastAsia="方正仿宋_GBK" w:cs="Times New Roman"/>
          <w:color w:val="000000"/>
          <w:sz w:val="28"/>
          <w:lang w:val="en-US" w:eastAsia="zh-CN"/>
        </w:rPr>
        <w:t>综治参与平安建设保险</w:t>
      </w:r>
      <w:r>
        <w:rPr>
          <w:rFonts w:hint="eastAsia" w:cs="Times New Roman"/>
          <w:color w:val="000000"/>
          <w:sz w:val="28"/>
          <w:lang w:val="en-US" w:eastAsia="zh-CN"/>
        </w:rPr>
        <w:t>业务</w:t>
      </w:r>
      <w:r>
        <w:rPr>
          <w:rFonts w:hint="eastAsia" w:ascii="Times New Roman" w:hAnsi="Times New Roman" w:eastAsia="方正仿宋_GBK" w:cs="Times New Roman"/>
          <w:color w:val="000000"/>
          <w:sz w:val="28"/>
        </w:rPr>
        <w:t>经费</w:t>
      </w:r>
      <w:r>
        <w:rPr>
          <w:rFonts w:hint="eastAsia" w:ascii="Times New Roman" w:hAnsi="Times New Roman" w:eastAsia="方正仿宋_GBK" w:cs="Times New Roman"/>
          <w:color w:val="000000"/>
          <w:sz w:val="28"/>
          <w:lang w:val="en-US" w:eastAsia="zh-CN"/>
        </w:rPr>
        <w:t>和政法网传输维保费</w:t>
      </w:r>
      <w:r>
        <w:rPr>
          <w:rFonts w:hint="eastAsia" w:ascii="Times New Roman" w:hAnsi="Times New Roman" w:eastAsia="方正仿宋_GBK" w:cs="Times New Roman"/>
          <w:color w:val="000000"/>
          <w:sz w:val="28"/>
        </w:rPr>
        <w:t>。</w:t>
      </w:r>
    </w:p>
    <w:p>
      <w:pPr>
        <w:pStyle w:val="27"/>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3、比上年增减变化情况</w:t>
      </w:r>
    </w:p>
    <w:p>
      <w:pPr>
        <w:pStyle w:val="27"/>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5</w:t>
      </w:r>
      <w:r>
        <w:rPr>
          <w:rFonts w:hint="eastAsia" w:ascii="Times New Roman" w:hAnsi="Times New Roman" w:eastAsia="方正仿宋_GBK" w:cs="Times New Roman"/>
          <w:color w:val="000000"/>
          <w:sz w:val="28"/>
        </w:rPr>
        <w:t>年预算收支安排</w:t>
      </w:r>
      <w:r>
        <w:rPr>
          <w:rFonts w:hint="eastAsia" w:cs="Times New Roman"/>
          <w:color w:val="000000"/>
          <w:sz w:val="28"/>
          <w:lang w:val="en-US" w:eastAsia="zh-CN"/>
        </w:rPr>
        <w:t>277.45</w:t>
      </w:r>
      <w:r>
        <w:rPr>
          <w:rFonts w:hint="eastAsia" w:ascii="Times New Roman" w:hAnsi="Times New Roman" w:eastAsia="方正仿宋_GBK" w:cs="Times New Roman"/>
          <w:color w:val="000000"/>
          <w:sz w:val="28"/>
        </w:rPr>
        <w:t>万元，较20</w:t>
      </w:r>
      <w:r>
        <w:rPr>
          <w:rFonts w:hint="eastAsia" w:ascii="Times New Roman" w:hAnsi="Times New Roman" w:eastAsia="方正仿宋_GBK" w:cs="Times New Roman"/>
          <w:color w:val="000000"/>
          <w:sz w:val="28"/>
          <w:lang w:val="en-US" w:eastAsia="zh-CN"/>
        </w:rPr>
        <w:t>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w:t>
      </w:r>
      <w:r>
        <w:rPr>
          <w:rFonts w:hint="eastAsia" w:cs="Times New Roman"/>
          <w:color w:val="000000"/>
          <w:sz w:val="28"/>
          <w:lang w:val="en-US" w:eastAsia="zh-CN"/>
        </w:rPr>
        <w:t>减少3.64</w:t>
      </w:r>
      <w:r>
        <w:rPr>
          <w:rFonts w:hint="eastAsia" w:ascii="Times New Roman" w:hAnsi="Times New Roman" w:eastAsia="方正仿宋_GBK" w:cs="Times New Roman"/>
          <w:color w:val="000000"/>
          <w:sz w:val="28"/>
        </w:rPr>
        <w:t>万元，主要原因：</w:t>
      </w:r>
      <w:r>
        <w:rPr>
          <w:rFonts w:hint="eastAsia" w:cs="Times New Roman"/>
          <w:color w:val="000000"/>
          <w:sz w:val="28"/>
          <w:lang w:val="en-US" w:eastAsia="zh-CN"/>
        </w:rPr>
        <w:t>日常公用经费减少。</w:t>
      </w:r>
    </w:p>
    <w:p>
      <w:pPr>
        <w:spacing w:before="10" w:after="10"/>
        <w:ind w:firstLine="640"/>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hint="eastAsia" w:ascii="Times New Roman" w:hAnsi="Times New Roman" w:eastAsia="方正仿宋_GBK" w:cs="Times New Roman"/>
          <w:color w:val="000000"/>
          <w:sz w:val="28"/>
        </w:rPr>
        <w:t>日常公用经费安排</w:t>
      </w:r>
      <w:r>
        <w:rPr>
          <w:rFonts w:hint="eastAsia" w:eastAsia="方正仿宋_GBK" w:cs="Times New Roman"/>
          <w:color w:val="000000"/>
          <w:sz w:val="28"/>
          <w:lang w:val="en-US" w:eastAsia="zh-CN"/>
        </w:rPr>
        <w:t>26.1</w:t>
      </w:r>
      <w:r>
        <w:rPr>
          <w:rFonts w:hint="eastAsia" w:ascii="Times New Roman" w:hAnsi="Times New Roman" w:eastAsia="方正仿宋_GBK" w:cs="Times New Roman"/>
          <w:color w:val="000000"/>
          <w:sz w:val="28"/>
        </w:rPr>
        <w:t>万元，包括：办公费、其他交通费。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年度“三公”预算支出</w:t>
      </w:r>
      <w:r>
        <w:rPr>
          <w:rFonts w:hint="eastAsia"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万元，其中，因公出国（境）费0元，安排公务用车维护费</w:t>
      </w:r>
      <w:r>
        <w:rPr>
          <w:rFonts w:hint="eastAsia"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zh-CN" w:bidi="ar-SA"/>
        </w:rPr>
        <w:t>万</w:t>
      </w:r>
      <w:r>
        <w:rPr>
          <w:rFonts w:hint="eastAsia" w:ascii="Times New Roman" w:hAnsi="Times New Roman" w:eastAsia="方正仿宋_GBK" w:cs="Times New Roman"/>
          <w:color w:val="000000"/>
          <w:sz w:val="28"/>
          <w:szCs w:val="24"/>
          <w:lang w:val="en-US" w:eastAsia="uk-UA" w:bidi="ar-SA"/>
        </w:rPr>
        <w:t>元，（其中公务用车购置费0元，公务用车运行维护费</w:t>
      </w:r>
      <w:r>
        <w:rPr>
          <w:rFonts w:hint="eastAsia"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万元），公务接待费0万元，因</w:t>
      </w:r>
      <w:r>
        <w:rPr>
          <w:rFonts w:hint="eastAsia" w:cs="Times New Roman"/>
          <w:color w:val="000000"/>
          <w:sz w:val="28"/>
          <w:szCs w:val="24"/>
          <w:lang w:val="en-US" w:eastAsia="zh-CN" w:bidi="ar-SA"/>
        </w:rPr>
        <w:t>公</w:t>
      </w:r>
      <w:r>
        <w:rPr>
          <w:rFonts w:hint="eastAsia" w:ascii="Times New Roman" w:hAnsi="Times New Roman" w:eastAsia="方正仿宋_GBK" w:cs="Times New Roman"/>
          <w:color w:val="000000"/>
          <w:sz w:val="28"/>
          <w:szCs w:val="24"/>
          <w:lang w:val="en-US" w:eastAsia="uk-UA" w:bidi="ar-SA"/>
        </w:rPr>
        <w:t>出国（境）费与202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年持平，公务接待费与202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年持平，202</w:t>
      </w:r>
      <w:r>
        <w:rPr>
          <w:rFonts w:hint="eastAsia"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年公务用车运行维护费</w:t>
      </w:r>
      <w:r>
        <w:rPr>
          <w:rFonts w:hint="eastAsia" w:cs="Times New Roman"/>
          <w:color w:val="000000"/>
          <w:sz w:val="28"/>
          <w:szCs w:val="24"/>
          <w:lang w:val="en-US" w:eastAsia="zh-CN" w:bidi="ar-SA"/>
        </w:rPr>
        <w:t>减少2万元，</w:t>
      </w:r>
      <w:r>
        <w:rPr>
          <w:rFonts w:hint="eastAsia" w:ascii="Times New Roman" w:hAnsi="Times New Roman" w:eastAsia="方正仿宋_GBK" w:cs="Times New Roman"/>
          <w:color w:val="000000"/>
          <w:sz w:val="28"/>
        </w:rPr>
        <w:t>主要原因：</w:t>
      </w:r>
      <w:r>
        <w:rPr>
          <w:rFonts w:hint="eastAsia" w:cs="Times New Roman"/>
          <w:color w:val="000000"/>
          <w:sz w:val="28"/>
          <w:lang w:val="en-US" w:eastAsia="zh-CN"/>
        </w:rPr>
        <w:t>车辆已报废</w:t>
      </w:r>
      <w:r>
        <w:rPr>
          <w:rFonts w:hint="eastAsia" w:cs="Times New Roman"/>
          <w:color w:val="000000"/>
          <w:sz w:val="28"/>
          <w:szCs w:val="24"/>
          <w:lang w:val="en-US" w:eastAsia="zh-CN" w:bidi="ar-SA"/>
        </w:rPr>
        <w:t>。</w:t>
      </w:r>
      <w:bookmarkStart w:id="1" w:name="_GoBack"/>
      <w:bookmarkEnd w:id="1"/>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1、2025常态化扫黑除恶工作经费绩效目标表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13042425P000033100045</w:t>
            </w:r>
          </w:p>
        </w:tc>
        <w:tc>
          <w:tcPr>
            <w:tcW w:w="2835" w:type="dxa"/>
            <w:vAlign w:val="center"/>
          </w:tcPr>
          <w:p>
            <w:pPr>
              <w:pStyle w:val="11"/>
            </w:pPr>
            <w:r>
              <w:t>项目名称</w:t>
            </w:r>
          </w:p>
        </w:tc>
        <w:tc>
          <w:tcPr>
            <w:tcW w:w="6095" w:type="dxa"/>
            <w:gridSpan w:val="3"/>
            <w:vAlign w:val="center"/>
          </w:tcPr>
          <w:p>
            <w:pPr>
              <w:pStyle w:val="13"/>
            </w:pPr>
            <w:r>
              <w:t>2025常态化扫黑除恶工作经费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"为巩固深化扫黑除恶专项斗争成果，常态化、机制化开展扫黑除恶斗争，确保人民安居乐业、社会安定有序、国家长治久安。</w:t>
            </w:r>
            <w:r>
              <w:tab/>
            </w:r>
            <w:r>
              <w:tab/>
            </w:r>
            <w:r>
              <w:tab/>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1."为巩固深化扫黑除恶专项斗争成果，常态化、机制化开展扫黑除恶斗争，确保人民安居乐业、社会安定有序、国家长治久安。</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宣传品数量</w:t>
            </w:r>
          </w:p>
        </w:tc>
        <w:tc>
          <w:tcPr>
            <w:tcW w:w="5386" w:type="dxa"/>
            <w:vAlign w:val="center"/>
          </w:tcPr>
          <w:p>
            <w:pPr>
              <w:pStyle w:val="13"/>
            </w:pPr>
            <w:r>
              <w:t>宣传品数量</w:t>
            </w:r>
          </w:p>
        </w:tc>
        <w:tc>
          <w:tcPr>
            <w:tcW w:w="2268" w:type="dxa"/>
            <w:vAlign w:val="center"/>
          </w:tcPr>
          <w:p>
            <w:pPr>
              <w:pStyle w:val="13"/>
            </w:pPr>
            <w:r>
              <w:t>≥5000份</w:t>
            </w:r>
          </w:p>
        </w:tc>
        <w:tc>
          <w:tcPr>
            <w:tcW w:w="1276" w:type="dxa"/>
            <w:vAlign w:val="center"/>
          </w:tcPr>
          <w:p>
            <w:pPr>
              <w:pStyle w:val="13"/>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≥95百分比</w:t>
            </w:r>
          </w:p>
        </w:tc>
        <w:tc>
          <w:tcPr>
            <w:tcW w:w="1276" w:type="dxa"/>
            <w:vAlign w:val="center"/>
          </w:tcPr>
          <w:p>
            <w:pPr>
              <w:pStyle w:val="13"/>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完成期限</w:t>
            </w:r>
          </w:p>
        </w:tc>
        <w:tc>
          <w:tcPr>
            <w:tcW w:w="2268" w:type="dxa"/>
            <w:vAlign w:val="center"/>
          </w:tcPr>
          <w:p>
            <w:pPr>
              <w:pStyle w:val="13"/>
            </w:pPr>
            <w:r>
              <w:t>≥1年</w:t>
            </w:r>
          </w:p>
        </w:tc>
        <w:tc>
          <w:tcPr>
            <w:tcW w:w="1276" w:type="dxa"/>
            <w:vAlign w:val="center"/>
          </w:tcPr>
          <w:p>
            <w:pPr>
              <w:pStyle w:val="13"/>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宣传成品成本</w:t>
            </w:r>
          </w:p>
        </w:tc>
        <w:tc>
          <w:tcPr>
            <w:tcW w:w="5386" w:type="dxa"/>
            <w:vAlign w:val="center"/>
          </w:tcPr>
          <w:p>
            <w:pPr>
              <w:pStyle w:val="13"/>
            </w:pPr>
            <w:r>
              <w:t>印刷宣传资料、传单、宣传品等成本</w:t>
            </w:r>
          </w:p>
          <w:p>
            <w:pPr>
              <w:pStyle w:val="13"/>
            </w:pPr>
          </w:p>
        </w:tc>
        <w:tc>
          <w:tcPr>
            <w:tcW w:w="2268" w:type="dxa"/>
            <w:vAlign w:val="center"/>
          </w:tcPr>
          <w:p>
            <w:pPr>
              <w:pStyle w:val="13"/>
            </w:pPr>
            <w:r>
              <w:t>20万元</w:t>
            </w:r>
          </w:p>
        </w:tc>
        <w:tc>
          <w:tcPr>
            <w:tcW w:w="1276" w:type="dxa"/>
            <w:vAlign w:val="center"/>
          </w:tcPr>
          <w:p>
            <w:pPr>
              <w:pStyle w:val="13"/>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全县人民群众对扫黑除恶的新评价、新需求、新建议</w:t>
            </w:r>
          </w:p>
        </w:tc>
        <w:tc>
          <w:tcPr>
            <w:tcW w:w="5386" w:type="dxa"/>
            <w:vAlign w:val="center"/>
          </w:tcPr>
          <w:p>
            <w:pPr>
              <w:pStyle w:val="13"/>
            </w:pPr>
            <w:r>
              <w:t>确保扫黑除恶始终合民意、护民利、得民心</w:t>
            </w:r>
          </w:p>
        </w:tc>
        <w:tc>
          <w:tcPr>
            <w:tcW w:w="2268" w:type="dxa"/>
            <w:vAlign w:val="center"/>
          </w:tcPr>
          <w:p>
            <w:pPr>
              <w:pStyle w:val="13"/>
            </w:pPr>
            <w:r>
              <w:t>有所提高</w:t>
            </w:r>
          </w:p>
        </w:tc>
        <w:tc>
          <w:tcPr>
            <w:tcW w:w="1276" w:type="dxa"/>
            <w:vAlign w:val="center"/>
          </w:tcPr>
          <w:p>
            <w:pPr>
              <w:pStyle w:val="13"/>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全县人民群众获得感、幸福感、安全感</w:t>
            </w:r>
          </w:p>
        </w:tc>
        <w:tc>
          <w:tcPr>
            <w:tcW w:w="5386" w:type="dxa"/>
            <w:vAlign w:val="center"/>
          </w:tcPr>
          <w:p>
            <w:pPr>
              <w:pStyle w:val="13"/>
            </w:pPr>
            <w:r>
              <w:t>提高全县人民群众安全感</w:t>
            </w:r>
          </w:p>
        </w:tc>
        <w:tc>
          <w:tcPr>
            <w:tcW w:w="2268" w:type="dxa"/>
            <w:vAlign w:val="center"/>
          </w:tcPr>
          <w:p>
            <w:pPr>
              <w:pStyle w:val="13"/>
            </w:pPr>
            <w:r>
              <w:t>有所提高</w:t>
            </w:r>
          </w:p>
        </w:tc>
        <w:tc>
          <w:tcPr>
            <w:tcW w:w="1276" w:type="dxa"/>
            <w:vAlign w:val="center"/>
          </w:tcPr>
          <w:p>
            <w:pPr>
              <w:pStyle w:val="13"/>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全县人民群众满意和较满意的</w:t>
            </w:r>
          </w:p>
        </w:tc>
        <w:tc>
          <w:tcPr>
            <w:tcW w:w="2268" w:type="dxa"/>
            <w:vAlign w:val="center"/>
          </w:tcPr>
          <w:p>
            <w:pPr>
              <w:pStyle w:val="13"/>
            </w:pPr>
            <w:r>
              <w:t>≥95百分比</w:t>
            </w:r>
          </w:p>
        </w:tc>
        <w:tc>
          <w:tcPr>
            <w:tcW w:w="1276" w:type="dxa"/>
            <w:vAlign w:val="center"/>
          </w:tcPr>
          <w:p>
            <w:pPr>
              <w:pStyle w:val="13"/>
            </w:pPr>
            <w:r>
              <w:t>关于常态化开展扫黑除恶斗争的实施意见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2、2025年严重精神病障碍患者监护人责任险绩效目标表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13042425P00287310006C</w:t>
            </w:r>
          </w:p>
        </w:tc>
        <w:tc>
          <w:tcPr>
            <w:tcW w:w="2835" w:type="dxa"/>
            <w:vAlign w:val="center"/>
          </w:tcPr>
          <w:p>
            <w:pPr>
              <w:pStyle w:val="11"/>
            </w:pPr>
            <w:r>
              <w:t>项目名称</w:t>
            </w:r>
          </w:p>
        </w:tc>
        <w:tc>
          <w:tcPr>
            <w:tcW w:w="6095" w:type="dxa"/>
            <w:gridSpan w:val="3"/>
            <w:vAlign w:val="center"/>
          </w:tcPr>
          <w:p>
            <w:pPr>
              <w:pStyle w:val="13"/>
            </w:pPr>
            <w:r>
              <w:t>2025年严重精神病障碍患者监护人责任险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23.52</w:t>
            </w:r>
          </w:p>
        </w:tc>
        <w:tc>
          <w:tcPr>
            <w:tcW w:w="2835" w:type="dxa"/>
            <w:vAlign w:val="center"/>
          </w:tcPr>
          <w:p>
            <w:pPr>
              <w:pStyle w:val="11"/>
            </w:pPr>
            <w:r>
              <w:t>其中：财政    资金</w:t>
            </w:r>
          </w:p>
        </w:tc>
        <w:tc>
          <w:tcPr>
            <w:tcW w:w="2551" w:type="dxa"/>
            <w:vAlign w:val="center"/>
          </w:tcPr>
          <w:p>
            <w:pPr>
              <w:pStyle w:val="13"/>
            </w:pPr>
            <w:r>
              <w:t>23.52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"督促落实严重精神障碍患者监护人“以奖代补”政策和监护人责任险工作，把以奖代补政策工作和监护人责任险工作纳入平安建设考核内容</w:t>
            </w:r>
            <w:r>
              <w:tab/>
            </w:r>
            <w:r>
              <w:tab/>
            </w:r>
            <w:r>
              <w:tab/>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5.88</w:t>
            </w:r>
          </w:p>
        </w:tc>
        <w:tc>
          <w:tcPr>
            <w:tcW w:w="2835" w:type="dxa"/>
            <w:vAlign w:val="center"/>
          </w:tcPr>
          <w:p>
            <w:pPr>
              <w:pStyle w:val="14"/>
            </w:pPr>
            <w:r>
              <w:t>11.76</w:t>
            </w:r>
          </w:p>
        </w:tc>
        <w:tc>
          <w:tcPr>
            <w:tcW w:w="2551" w:type="dxa"/>
            <w:vAlign w:val="center"/>
          </w:tcPr>
          <w:p>
            <w:pPr>
              <w:pStyle w:val="14"/>
            </w:pPr>
            <w:r>
              <w:t>17.64</w:t>
            </w:r>
          </w:p>
        </w:tc>
        <w:tc>
          <w:tcPr>
            <w:tcW w:w="3544" w:type="dxa"/>
            <w:gridSpan w:val="2"/>
            <w:vAlign w:val="center"/>
          </w:tcPr>
          <w:p>
            <w:pPr>
              <w:pStyle w:val="14"/>
            </w:pPr>
            <w:r>
              <w:t>23.52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1."督促落实严重精神障碍患者监护人“以奖代补”政策和监护人责任险工作，把以奖代补政策工作和监护人责任险工作纳入平安建设考核内容</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缴纳严重精神障碍患者户数</w:t>
            </w:r>
          </w:p>
        </w:tc>
        <w:tc>
          <w:tcPr>
            <w:tcW w:w="5386" w:type="dxa"/>
            <w:vAlign w:val="center"/>
          </w:tcPr>
          <w:p>
            <w:pPr>
              <w:pStyle w:val="13"/>
            </w:pPr>
            <w:r>
              <w:t>缴纳严重精神障碍监护人监护户数</w:t>
            </w:r>
          </w:p>
        </w:tc>
        <w:tc>
          <w:tcPr>
            <w:tcW w:w="2268" w:type="dxa"/>
            <w:vAlign w:val="center"/>
          </w:tcPr>
          <w:p>
            <w:pPr>
              <w:pStyle w:val="13"/>
            </w:pPr>
            <w:r>
              <w:t>18户</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缴纳全县精神病障碍患者人数</w:t>
            </w:r>
          </w:p>
        </w:tc>
        <w:tc>
          <w:tcPr>
            <w:tcW w:w="5386" w:type="dxa"/>
            <w:vAlign w:val="center"/>
          </w:tcPr>
          <w:p>
            <w:pPr>
              <w:pStyle w:val="13"/>
            </w:pPr>
            <w:r>
              <w:t>缴纳全县精神病障碍患者人数</w:t>
            </w:r>
          </w:p>
        </w:tc>
        <w:tc>
          <w:tcPr>
            <w:tcW w:w="2268" w:type="dxa"/>
            <w:vAlign w:val="center"/>
          </w:tcPr>
          <w:p>
            <w:pPr>
              <w:pStyle w:val="13"/>
            </w:pPr>
            <w:r>
              <w:t>1809人</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保费参保率</w:t>
            </w:r>
          </w:p>
        </w:tc>
        <w:tc>
          <w:tcPr>
            <w:tcW w:w="5386" w:type="dxa"/>
            <w:vAlign w:val="center"/>
          </w:tcPr>
          <w:p>
            <w:pPr>
              <w:pStyle w:val="13"/>
            </w:pPr>
            <w:r>
              <w:t>保费参保率</w:t>
            </w:r>
          </w:p>
        </w:tc>
        <w:tc>
          <w:tcPr>
            <w:tcW w:w="2268" w:type="dxa"/>
            <w:vAlign w:val="center"/>
          </w:tcPr>
          <w:p>
            <w:pPr>
              <w:pStyle w:val="13"/>
            </w:pPr>
            <w:r>
              <w:t>100百分比</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保费期限</w:t>
            </w:r>
          </w:p>
        </w:tc>
        <w:tc>
          <w:tcPr>
            <w:tcW w:w="5386" w:type="dxa"/>
            <w:vAlign w:val="center"/>
          </w:tcPr>
          <w:p>
            <w:pPr>
              <w:pStyle w:val="13"/>
            </w:pPr>
            <w:r>
              <w:t>2025年期间全县购买责任险</w:t>
            </w:r>
          </w:p>
        </w:tc>
        <w:tc>
          <w:tcPr>
            <w:tcW w:w="2268" w:type="dxa"/>
            <w:vAlign w:val="center"/>
          </w:tcPr>
          <w:p>
            <w:pPr>
              <w:pStyle w:val="13"/>
            </w:pPr>
            <w:r>
              <w:t>1年</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每人保费标准</w:t>
            </w:r>
          </w:p>
        </w:tc>
        <w:tc>
          <w:tcPr>
            <w:tcW w:w="5386" w:type="dxa"/>
            <w:vAlign w:val="center"/>
          </w:tcPr>
          <w:p>
            <w:pPr>
              <w:pStyle w:val="13"/>
            </w:pPr>
            <w:r>
              <w:t>人均缴纳标准</w:t>
            </w:r>
          </w:p>
        </w:tc>
        <w:tc>
          <w:tcPr>
            <w:tcW w:w="2268" w:type="dxa"/>
            <w:vAlign w:val="center"/>
          </w:tcPr>
          <w:p>
            <w:pPr>
              <w:pStyle w:val="13"/>
            </w:pPr>
            <w:r>
              <w:t>100元</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每户保费标准</w:t>
            </w:r>
          </w:p>
        </w:tc>
        <w:tc>
          <w:tcPr>
            <w:tcW w:w="5386" w:type="dxa"/>
            <w:vAlign w:val="center"/>
          </w:tcPr>
          <w:p>
            <w:pPr>
              <w:pStyle w:val="13"/>
            </w:pPr>
            <w:r>
              <w:t>每户缴纳标准</w:t>
            </w:r>
          </w:p>
        </w:tc>
        <w:tc>
          <w:tcPr>
            <w:tcW w:w="2268" w:type="dxa"/>
            <w:vAlign w:val="center"/>
          </w:tcPr>
          <w:p>
            <w:pPr>
              <w:pStyle w:val="13"/>
            </w:pPr>
            <w:r>
              <w:t>200元</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创新社会治理体制</w:t>
            </w:r>
          </w:p>
        </w:tc>
        <w:tc>
          <w:tcPr>
            <w:tcW w:w="5386" w:type="dxa"/>
            <w:vAlign w:val="center"/>
          </w:tcPr>
          <w:p>
            <w:pPr>
              <w:pStyle w:val="13"/>
            </w:pPr>
            <w:r>
              <w:t>使严重精神障碍患者监护人更好履行看护责任</w:t>
            </w:r>
          </w:p>
        </w:tc>
        <w:tc>
          <w:tcPr>
            <w:tcW w:w="2268" w:type="dxa"/>
            <w:vAlign w:val="center"/>
          </w:tcPr>
          <w:p>
            <w:pPr>
              <w:pStyle w:val="13"/>
            </w:pPr>
            <w:r>
              <w:t>有所提高</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在全县产生的重要影响</w:t>
            </w:r>
          </w:p>
        </w:tc>
        <w:tc>
          <w:tcPr>
            <w:tcW w:w="2268" w:type="dxa"/>
            <w:vAlign w:val="center"/>
          </w:tcPr>
          <w:p>
            <w:pPr>
              <w:pStyle w:val="13"/>
            </w:pPr>
            <w:r>
              <w:t>全县人民群众安全意识有所提高</w:t>
            </w:r>
          </w:p>
        </w:tc>
        <w:tc>
          <w:tcPr>
            <w:tcW w:w="1276" w:type="dxa"/>
            <w:vAlign w:val="center"/>
          </w:tcPr>
          <w:p>
            <w:pPr>
              <w:pStyle w:val="13"/>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购买保险受益群众中满意和较满意的</w:t>
            </w:r>
          </w:p>
        </w:tc>
        <w:tc>
          <w:tcPr>
            <w:tcW w:w="2268" w:type="dxa"/>
            <w:vAlign w:val="center"/>
          </w:tcPr>
          <w:p>
            <w:pPr>
              <w:pStyle w:val="13"/>
            </w:pPr>
            <w:r>
              <w:t>≥95百分比</w:t>
            </w:r>
          </w:p>
        </w:tc>
        <w:tc>
          <w:tcPr>
            <w:tcW w:w="1276" w:type="dxa"/>
            <w:vAlign w:val="center"/>
          </w:tcPr>
          <w:p>
            <w:pPr>
              <w:pStyle w:val="13"/>
            </w:pPr>
            <w:r>
              <w:t>省综治委（2016）4号文件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3、2025年政法网维保传输费绩效目标表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13042425P00005510004Y</w:t>
            </w:r>
          </w:p>
        </w:tc>
        <w:tc>
          <w:tcPr>
            <w:tcW w:w="2835" w:type="dxa"/>
            <w:vAlign w:val="center"/>
          </w:tcPr>
          <w:p>
            <w:pPr>
              <w:pStyle w:val="11"/>
            </w:pPr>
            <w:r>
              <w:t>项目名称</w:t>
            </w:r>
          </w:p>
        </w:tc>
        <w:tc>
          <w:tcPr>
            <w:tcW w:w="6095" w:type="dxa"/>
            <w:gridSpan w:val="3"/>
            <w:vAlign w:val="center"/>
          </w:tcPr>
          <w:p>
            <w:pPr>
              <w:pStyle w:val="13"/>
            </w:pPr>
            <w:r>
              <w:t>2025年政法网维保传输费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18.20</w:t>
            </w:r>
          </w:p>
        </w:tc>
        <w:tc>
          <w:tcPr>
            <w:tcW w:w="2835" w:type="dxa"/>
            <w:vAlign w:val="center"/>
          </w:tcPr>
          <w:p>
            <w:pPr>
              <w:pStyle w:val="11"/>
            </w:pPr>
            <w:r>
              <w:t>其中：财政    资金</w:t>
            </w:r>
          </w:p>
        </w:tc>
        <w:tc>
          <w:tcPr>
            <w:tcW w:w="2551" w:type="dxa"/>
            <w:vAlign w:val="center"/>
          </w:tcPr>
          <w:p>
            <w:pPr>
              <w:pStyle w:val="13"/>
            </w:pPr>
            <w:r>
              <w:t>18.20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切实加强做好政治信息化应用工作。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4.55</w:t>
            </w:r>
          </w:p>
        </w:tc>
        <w:tc>
          <w:tcPr>
            <w:tcW w:w="2835" w:type="dxa"/>
            <w:vAlign w:val="center"/>
          </w:tcPr>
          <w:p>
            <w:pPr>
              <w:pStyle w:val="14"/>
            </w:pPr>
            <w:r>
              <w:t>9.10</w:t>
            </w:r>
          </w:p>
        </w:tc>
        <w:tc>
          <w:tcPr>
            <w:tcW w:w="2551" w:type="dxa"/>
            <w:vAlign w:val="center"/>
          </w:tcPr>
          <w:p>
            <w:pPr>
              <w:pStyle w:val="14"/>
            </w:pPr>
            <w:r>
              <w:t>13.65</w:t>
            </w:r>
          </w:p>
        </w:tc>
        <w:tc>
          <w:tcPr>
            <w:tcW w:w="3544" w:type="dxa"/>
            <w:gridSpan w:val="2"/>
            <w:vAlign w:val="center"/>
          </w:tcPr>
          <w:p>
            <w:pPr>
              <w:pStyle w:val="14"/>
            </w:pPr>
            <w:r>
              <w:t>18.20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1.切实加强做好政治信息化应用工作。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节点数量</w:t>
            </w:r>
          </w:p>
        </w:tc>
        <w:tc>
          <w:tcPr>
            <w:tcW w:w="5386" w:type="dxa"/>
            <w:vAlign w:val="center"/>
          </w:tcPr>
          <w:p>
            <w:pPr>
              <w:pStyle w:val="13"/>
            </w:pPr>
            <w:r>
              <w:t>接入网节点数量。</w:t>
            </w:r>
          </w:p>
        </w:tc>
        <w:tc>
          <w:tcPr>
            <w:tcW w:w="2268" w:type="dxa"/>
            <w:vAlign w:val="center"/>
          </w:tcPr>
          <w:p>
            <w:pPr>
              <w:pStyle w:val="13"/>
            </w:pPr>
            <w:r>
              <w:t>50个</w:t>
            </w:r>
          </w:p>
        </w:tc>
        <w:tc>
          <w:tcPr>
            <w:tcW w:w="1276" w:type="dxa"/>
            <w:vAlign w:val="center"/>
          </w:tcPr>
          <w:p>
            <w:pPr>
              <w:pStyle w:val="13"/>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政法网运行质量</w:t>
            </w:r>
          </w:p>
        </w:tc>
        <w:tc>
          <w:tcPr>
            <w:tcW w:w="5386" w:type="dxa"/>
            <w:vAlign w:val="center"/>
          </w:tcPr>
          <w:p>
            <w:pPr>
              <w:pStyle w:val="13"/>
            </w:pPr>
            <w:r>
              <w:t>政法网运行稳定率。</w:t>
            </w:r>
          </w:p>
        </w:tc>
        <w:tc>
          <w:tcPr>
            <w:tcW w:w="2268" w:type="dxa"/>
            <w:vAlign w:val="center"/>
          </w:tcPr>
          <w:p>
            <w:pPr>
              <w:pStyle w:val="13"/>
            </w:pPr>
            <w:r>
              <w:t>100百分比</w:t>
            </w:r>
          </w:p>
        </w:tc>
        <w:tc>
          <w:tcPr>
            <w:tcW w:w="1276" w:type="dxa"/>
            <w:vAlign w:val="center"/>
          </w:tcPr>
          <w:p>
            <w:pPr>
              <w:pStyle w:val="13"/>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接入网节点成本。</w:t>
            </w:r>
          </w:p>
        </w:tc>
        <w:tc>
          <w:tcPr>
            <w:tcW w:w="5386" w:type="dxa"/>
            <w:vAlign w:val="center"/>
          </w:tcPr>
          <w:p>
            <w:pPr>
              <w:pStyle w:val="13"/>
            </w:pPr>
            <w:r>
              <w:t>政法网接入网节点成本。</w:t>
            </w:r>
          </w:p>
        </w:tc>
        <w:tc>
          <w:tcPr>
            <w:tcW w:w="2268" w:type="dxa"/>
            <w:vAlign w:val="center"/>
          </w:tcPr>
          <w:p>
            <w:pPr>
              <w:pStyle w:val="13"/>
            </w:pPr>
            <w:r>
              <w:t>2440元</w:t>
            </w:r>
          </w:p>
        </w:tc>
        <w:tc>
          <w:tcPr>
            <w:tcW w:w="1276" w:type="dxa"/>
            <w:vAlign w:val="center"/>
          </w:tcPr>
          <w:p>
            <w:pPr>
              <w:pStyle w:val="13"/>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政法网维保费成本</w:t>
            </w:r>
          </w:p>
        </w:tc>
        <w:tc>
          <w:tcPr>
            <w:tcW w:w="5386" w:type="dxa"/>
            <w:vAlign w:val="center"/>
          </w:tcPr>
          <w:p>
            <w:pPr>
              <w:pStyle w:val="13"/>
            </w:pPr>
            <w:r>
              <w:t>政法网维保费成本</w:t>
            </w:r>
          </w:p>
        </w:tc>
        <w:tc>
          <w:tcPr>
            <w:tcW w:w="2268" w:type="dxa"/>
            <w:vAlign w:val="center"/>
          </w:tcPr>
          <w:p>
            <w:pPr>
              <w:pStyle w:val="13"/>
            </w:pPr>
            <w:r>
              <w:t>6万元</w:t>
            </w:r>
          </w:p>
        </w:tc>
        <w:tc>
          <w:tcPr>
            <w:tcW w:w="1276" w:type="dxa"/>
            <w:vAlign w:val="center"/>
          </w:tcPr>
          <w:p>
            <w:pPr>
              <w:pStyle w:val="13"/>
            </w:pPr>
            <w:r>
              <w:t>邯政法字（2012）136号文件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政法网时效。</w:t>
            </w:r>
          </w:p>
        </w:tc>
        <w:tc>
          <w:tcPr>
            <w:tcW w:w="5386" w:type="dxa"/>
            <w:vAlign w:val="center"/>
          </w:tcPr>
          <w:p>
            <w:pPr>
              <w:pStyle w:val="13"/>
            </w:pPr>
            <w:r>
              <w:t>政法网运行时效。</w:t>
            </w:r>
          </w:p>
        </w:tc>
        <w:tc>
          <w:tcPr>
            <w:tcW w:w="2268" w:type="dxa"/>
            <w:vAlign w:val="center"/>
          </w:tcPr>
          <w:p>
            <w:pPr>
              <w:pStyle w:val="13"/>
            </w:pPr>
            <w:r>
              <w:t>1年</w:t>
            </w:r>
          </w:p>
        </w:tc>
        <w:tc>
          <w:tcPr>
            <w:tcW w:w="1276" w:type="dxa"/>
            <w:vAlign w:val="center"/>
          </w:tcPr>
          <w:p>
            <w:pPr>
              <w:pStyle w:val="13"/>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政法网维保费时效</w:t>
            </w:r>
          </w:p>
        </w:tc>
        <w:tc>
          <w:tcPr>
            <w:tcW w:w="5386" w:type="dxa"/>
            <w:vAlign w:val="center"/>
          </w:tcPr>
          <w:p>
            <w:pPr>
              <w:pStyle w:val="13"/>
            </w:pPr>
            <w:r>
              <w:t>政法网维保费时效</w:t>
            </w:r>
          </w:p>
        </w:tc>
        <w:tc>
          <w:tcPr>
            <w:tcW w:w="2268" w:type="dxa"/>
            <w:vAlign w:val="center"/>
          </w:tcPr>
          <w:p>
            <w:pPr>
              <w:pStyle w:val="13"/>
            </w:pPr>
            <w:r>
              <w:t>1年</w:t>
            </w:r>
          </w:p>
        </w:tc>
        <w:tc>
          <w:tcPr>
            <w:tcW w:w="1276" w:type="dxa"/>
            <w:vAlign w:val="center"/>
          </w:tcPr>
          <w:p>
            <w:pPr>
              <w:pStyle w:val="13"/>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社会稳定水平</w:t>
            </w:r>
          </w:p>
        </w:tc>
        <w:tc>
          <w:tcPr>
            <w:tcW w:w="5386" w:type="dxa"/>
            <w:vAlign w:val="center"/>
          </w:tcPr>
          <w:p>
            <w:pPr>
              <w:pStyle w:val="13"/>
            </w:pPr>
            <w:r>
              <w:t>确保机关办公网络正常运行</w:t>
            </w:r>
          </w:p>
        </w:tc>
        <w:tc>
          <w:tcPr>
            <w:tcW w:w="2268" w:type="dxa"/>
            <w:vAlign w:val="center"/>
          </w:tcPr>
          <w:p>
            <w:pPr>
              <w:pStyle w:val="13"/>
            </w:pPr>
            <w:r>
              <w:t>有所提高</w:t>
            </w:r>
          </w:p>
        </w:tc>
        <w:tc>
          <w:tcPr>
            <w:tcW w:w="1276" w:type="dxa"/>
            <w:vAlign w:val="center"/>
          </w:tcPr>
          <w:p>
            <w:pPr>
              <w:pStyle w:val="13"/>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提高办公效率</w:t>
            </w:r>
          </w:p>
        </w:tc>
        <w:tc>
          <w:tcPr>
            <w:tcW w:w="5386" w:type="dxa"/>
            <w:vAlign w:val="center"/>
          </w:tcPr>
          <w:p>
            <w:pPr>
              <w:pStyle w:val="13"/>
            </w:pPr>
            <w:r>
              <w:t>提高办公效率</w:t>
            </w:r>
          </w:p>
        </w:tc>
        <w:tc>
          <w:tcPr>
            <w:tcW w:w="2268" w:type="dxa"/>
            <w:vAlign w:val="center"/>
          </w:tcPr>
          <w:p>
            <w:pPr>
              <w:pStyle w:val="13"/>
            </w:pPr>
            <w:r>
              <w:t>有所改善</w:t>
            </w:r>
          </w:p>
        </w:tc>
        <w:tc>
          <w:tcPr>
            <w:tcW w:w="1276" w:type="dxa"/>
            <w:vAlign w:val="center"/>
          </w:tcPr>
          <w:p>
            <w:pPr>
              <w:pStyle w:val="13"/>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工作人员满意度占总数的比例。</w:t>
            </w:r>
          </w:p>
        </w:tc>
        <w:tc>
          <w:tcPr>
            <w:tcW w:w="5386" w:type="dxa"/>
            <w:vAlign w:val="center"/>
          </w:tcPr>
          <w:p>
            <w:pPr>
              <w:pStyle w:val="13"/>
            </w:pPr>
            <w:r>
              <w:t>工作人员满意度占总数的比例。</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4、2025年治安保险业参与平安建设绩效目标表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13042425P002873100070</w:t>
            </w:r>
          </w:p>
        </w:tc>
        <w:tc>
          <w:tcPr>
            <w:tcW w:w="2835" w:type="dxa"/>
            <w:vAlign w:val="center"/>
          </w:tcPr>
          <w:p>
            <w:pPr>
              <w:pStyle w:val="11"/>
            </w:pPr>
            <w:r>
              <w:t>项目名称</w:t>
            </w:r>
          </w:p>
        </w:tc>
        <w:tc>
          <w:tcPr>
            <w:tcW w:w="6095" w:type="dxa"/>
            <w:gridSpan w:val="3"/>
            <w:vAlign w:val="center"/>
          </w:tcPr>
          <w:p>
            <w:pPr>
              <w:pStyle w:val="13"/>
            </w:pPr>
            <w:r>
              <w:t>2025年治安保险业参与平安建设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68.00</w:t>
            </w:r>
          </w:p>
        </w:tc>
        <w:tc>
          <w:tcPr>
            <w:tcW w:w="2835" w:type="dxa"/>
            <w:vAlign w:val="center"/>
          </w:tcPr>
          <w:p>
            <w:pPr>
              <w:pStyle w:val="11"/>
            </w:pPr>
            <w:r>
              <w:t>其中：财政    资金</w:t>
            </w:r>
          </w:p>
        </w:tc>
        <w:tc>
          <w:tcPr>
            <w:tcW w:w="2551" w:type="dxa"/>
            <w:vAlign w:val="center"/>
          </w:tcPr>
          <w:p>
            <w:pPr>
              <w:pStyle w:val="13"/>
            </w:pPr>
            <w:r>
              <w:t>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17.00</w:t>
            </w:r>
          </w:p>
        </w:tc>
        <w:tc>
          <w:tcPr>
            <w:tcW w:w="2835" w:type="dxa"/>
            <w:vAlign w:val="center"/>
          </w:tcPr>
          <w:p>
            <w:pPr>
              <w:pStyle w:val="14"/>
            </w:pPr>
            <w:r>
              <w:t>34.00</w:t>
            </w:r>
          </w:p>
        </w:tc>
        <w:tc>
          <w:tcPr>
            <w:tcW w:w="2551" w:type="dxa"/>
            <w:vAlign w:val="center"/>
          </w:tcPr>
          <w:p>
            <w:pPr>
              <w:pStyle w:val="14"/>
            </w:pPr>
            <w:r>
              <w:t>51.00</w:t>
            </w:r>
          </w:p>
        </w:tc>
        <w:tc>
          <w:tcPr>
            <w:tcW w:w="3544" w:type="dxa"/>
            <w:gridSpan w:val="2"/>
            <w:vAlign w:val="center"/>
          </w:tcPr>
          <w:p>
            <w:pPr>
              <w:pStyle w:val="14"/>
            </w:pPr>
            <w:r>
              <w:t>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购买保险户数</w:t>
            </w:r>
          </w:p>
        </w:tc>
        <w:tc>
          <w:tcPr>
            <w:tcW w:w="5386" w:type="dxa"/>
            <w:vAlign w:val="center"/>
          </w:tcPr>
          <w:p>
            <w:pPr>
              <w:pStyle w:val="13"/>
            </w:pPr>
            <w:r>
              <w:t>购买保险户数</w:t>
            </w:r>
          </w:p>
        </w:tc>
        <w:tc>
          <w:tcPr>
            <w:tcW w:w="2268" w:type="dxa"/>
            <w:vAlign w:val="center"/>
          </w:tcPr>
          <w:p>
            <w:pPr>
              <w:pStyle w:val="13"/>
            </w:pPr>
            <w:r>
              <w:t>116472户</w:t>
            </w:r>
          </w:p>
        </w:tc>
        <w:tc>
          <w:tcPr>
            <w:tcW w:w="1276" w:type="dxa"/>
            <w:vAlign w:val="center"/>
          </w:tcPr>
          <w:p>
            <w:pPr>
              <w:pStyle w:val="13"/>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已在保险人数</w:t>
            </w:r>
          </w:p>
        </w:tc>
        <w:tc>
          <w:tcPr>
            <w:tcW w:w="5386" w:type="dxa"/>
            <w:vAlign w:val="center"/>
          </w:tcPr>
          <w:p>
            <w:pPr>
              <w:pStyle w:val="13"/>
            </w:pPr>
            <w:r>
              <w:t>已在保险人数</w:t>
            </w:r>
          </w:p>
        </w:tc>
        <w:tc>
          <w:tcPr>
            <w:tcW w:w="2268" w:type="dxa"/>
            <w:vAlign w:val="center"/>
          </w:tcPr>
          <w:p>
            <w:pPr>
              <w:pStyle w:val="13"/>
            </w:pPr>
            <w:r>
              <w:t>100百分比</w:t>
            </w:r>
          </w:p>
        </w:tc>
        <w:tc>
          <w:tcPr>
            <w:tcW w:w="1276" w:type="dxa"/>
            <w:vAlign w:val="center"/>
          </w:tcPr>
          <w:p>
            <w:pPr>
              <w:pStyle w:val="13"/>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年初完成</w:t>
            </w:r>
          </w:p>
        </w:tc>
        <w:tc>
          <w:tcPr>
            <w:tcW w:w="1276" w:type="dxa"/>
            <w:vAlign w:val="center"/>
          </w:tcPr>
          <w:p>
            <w:pPr>
              <w:pStyle w:val="13"/>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每户保费金额</w:t>
            </w:r>
          </w:p>
        </w:tc>
        <w:tc>
          <w:tcPr>
            <w:tcW w:w="5386" w:type="dxa"/>
            <w:vAlign w:val="center"/>
          </w:tcPr>
          <w:p>
            <w:pPr>
              <w:pStyle w:val="13"/>
            </w:pPr>
            <w:r>
              <w:t>为全县人民群众购买惠普型保险产品</w:t>
            </w:r>
          </w:p>
        </w:tc>
        <w:tc>
          <w:tcPr>
            <w:tcW w:w="2268" w:type="dxa"/>
            <w:vAlign w:val="center"/>
          </w:tcPr>
          <w:p>
            <w:pPr>
              <w:pStyle w:val="13"/>
            </w:pPr>
            <w:r>
              <w:t>6元</w:t>
            </w:r>
          </w:p>
        </w:tc>
        <w:tc>
          <w:tcPr>
            <w:tcW w:w="1276" w:type="dxa"/>
            <w:vAlign w:val="center"/>
          </w:tcPr>
          <w:p>
            <w:pPr>
              <w:pStyle w:val="13"/>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事故赔偿和累计限额</w:t>
            </w:r>
          </w:p>
        </w:tc>
        <w:tc>
          <w:tcPr>
            <w:tcW w:w="5386" w:type="dxa"/>
            <w:vAlign w:val="center"/>
          </w:tcPr>
          <w:p>
            <w:pPr>
              <w:pStyle w:val="13"/>
            </w:pPr>
            <w:r>
              <w:t>保险条款中人身伤残或死亡赔偿</w:t>
            </w:r>
          </w:p>
        </w:tc>
        <w:tc>
          <w:tcPr>
            <w:tcW w:w="2268" w:type="dxa"/>
            <w:vAlign w:val="center"/>
          </w:tcPr>
          <w:p>
            <w:pPr>
              <w:pStyle w:val="13"/>
            </w:pPr>
            <w:r>
              <w:t>1300万元</w:t>
            </w:r>
          </w:p>
        </w:tc>
        <w:tc>
          <w:tcPr>
            <w:tcW w:w="1276" w:type="dxa"/>
            <w:vAlign w:val="center"/>
          </w:tcPr>
          <w:p>
            <w:pPr>
              <w:pStyle w:val="13"/>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全县人民群众满意度</w:t>
            </w:r>
          </w:p>
        </w:tc>
        <w:tc>
          <w:tcPr>
            <w:tcW w:w="5386" w:type="dxa"/>
            <w:vAlign w:val="center"/>
          </w:tcPr>
          <w:p>
            <w:pPr>
              <w:pStyle w:val="13"/>
            </w:pPr>
            <w:r>
              <w:t>通过为全县人民群众购买保险，保障人民家庭财产和人身安全</w:t>
            </w:r>
          </w:p>
        </w:tc>
        <w:tc>
          <w:tcPr>
            <w:tcW w:w="2268" w:type="dxa"/>
            <w:vAlign w:val="center"/>
          </w:tcPr>
          <w:p>
            <w:pPr>
              <w:pStyle w:val="13"/>
            </w:pPr>
            <w:r>
              <w:t>有所提高</w:t>
            </w:r>
          </w:p>
        </w:tc>
        <w:tc>
          <w:tcPr>
            <w:tcW w:w="1276" w:type="dxa"/>
            <w:vAlign w:val="center"/>
          </w:tcPr>
          <w:p>
            <w:pPr>
              <w:pStyle w:val="13"/>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人民群众中满意和较满意的</w:t>
            </w:r>
          </w:p>
        </w:tc>
        <w:tc>
          <w:tcPr>
            <w:tcW w:w="2268" w:type="dxa"/>
            <w:vAlign w:val="center"/>
          </w:tcPr>
          <w:p>
            <w:pPr>
              <w:pStyle w:val="13"/>
            </w:pPr>
            <w:r>
              <w:t>≥95百分比</w:t>
            </w:r>
          </w:p>
        </w:tc>
        <w:tc>
          <w:tcPr>
            <w:tcW w:w="1276" w:type="dxa"/>
            <w:vAlign w:val="center"/>
          </w:tcPr>
          <w:p>
            <w:pPr>
              <w:pStyle w:val="13"/>
            </w:pPr>
            <w:r>
              <w:t>人民群众中满意和较满意的</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562001成安县政法委(本级)</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成安县政法委(本级)上年末固定资产金额为</w:t>
      </w:r>
      <w:r>
        <w:rPr>
          <w:rFonts w:hint="eastAsia" w:eastAsia="方正仿宋_GBK"/>
          <w:color w:val="000000"/>
          <w:sz w:val="28"/>
          <w:lang w:val="en-US" w:eastAsia="zh-CN"/>
        </w:rPr>
        <w:t>6.0142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562001成安县政法委(本级)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jc w:val="center"/>
              <w:rPr>
                <w:rFonts w:hint="eastAsia" w:ascii="仿宋" w:hAnsi="仿宋" w:eastAsia="仿宋" w:cs="仿宋"/>
                <w:kern w:val="0"/>
                <w:sz w:val="32"/>
                <w:szCs w:val="32"/>
                <w:lang w:val="en-US" w:eastAsia="zh-CN" w:bidi="ar-SA"/>
              </w:rPr>
            </w:pPr>
            <w:r>
              <w:rPr>
                <w:rFonts w:hint="eastAsia"/>
              </w:rPr>
              <w:t>资产总额</w:t>
            </w:r>
          </w:p>
        </w:tc>
        <w:tc>
          <w:tcPr>
            <w:tcW w:w="2835"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rPr>
              <w:t>——</w:t>
            </w:r>
          </w:p>
        </w:tc>
        <w:tc>
          <w:tcPr>
            <w:tcW w:w="2835" w:type="dxa"/>
            <w:vAlign w:val="center"/>
          </w:tcPr>
          <w:p>
            <w:pPr>
              <w:pStyle w:val="13"/>
              <w:ind w:firstLine="0" w:firstLineChars="0"/>
              <w:jc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1、房屋（平方米）</w:t>
            </w:r>
          </w:p>
        </w:tc>
        <w:tc>
          <w:tcPr>
            <w:tcW w:w="2835" w:type="dxa"/>
            <w:vAlign w:val="center"/>
          </w:tcPr>
          <w:p>
            <w:pPr>
              <w:pStyle w:val="13"/>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318</w:t>
            </w:r>
          </w:p>
        </w:tc>
        <w:tc>
          <w:tcPr>
            <w:tcW w:w="2835" w:type="dxa"/>
            <w:vAlign w:val="center"/>
          </w:tcPr>
          <w:p>
            <w:pPr>
              <w:pStyle w:val="12"/>
              <w:ind w:firstLine="0" w:firstLineChars="0"/>
              <w:jc w:val="center"/>
              <w:rPr>
                <w:rFonts w:hint="eastAsia" w:ascii="方正书宋_GBK" w:hAnsi="方正书宋_GBK" w:eastAsia="方正书宋_GBK" w:cs="方正书宋_GBK"/>
                <w:kern w:val="2"/>
                <w:sz w:val="21"/>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其中：办公用房（平方米）</w:t>
            </w:r>
          </w:p>
        </w:tc>
        <w:tc>
          <w:tcPr>
            <w:tcW w:w="2835" w:type="dxa"/>
            <w:vAlign w:val="center"/>
          </w:tcPr>
          <w:p>
            <w:pPr>
              <w:pStyle w:val="13"/>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val="en-US" w:eastAsia="zh-CN"/>
              </w:rPr>
              <w:t>318</w:t>
            </w:r>
          </w:p>
        </w:tc>
        <w:tc>
          <w:tcPr>
            <w:tcW w:w="2835" w:type="dxa"/>
            <w:vAlign w:val="center"/>
          </w:tcPr>
          <w:p>
            <w:pPr>
              <w:pStyle w:val="13"/>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在政府集中办公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2、车辆（台、辆）</w:t>
            </w:r>
          </w:p>
        </w:tc>
        <w:tc>
          <w:tcPr>
            <w:tcW w:w="2835" w:type="dxa"/>
            <w:vAlign w:val="center"/>
          </w:tcPr>
          <w:p>
            <w:pPr>
              <w:pStyle w:val="13"/>
              <w:ind w:firstLine="0" w:firstLineChars="0"/>
              <w:jc w:val="center"/>
              <w:rPr>
                <w:rFonts w:hint="eastAsia" w:ascii="仿宋" w:hAnsi="仿宋" w:eastAsia="仿宋" w:cs="仿宋"/>
                <w:kern w:val="0"/>
                <w:sz w:val="32"/>
                <w:szCs w:val="32"/>
                <w:lang w:val="en-US" w:eastAsia="zh-CN" w:bidi="ar-SA"/>
              </w:rPr>
            </w:pPr>
          </w:p>
        </w:tc>
        <w:tc>
          <w:tcPr>
            <w:tcW w:w="2835" w:type="dxa"/>
            <w:vAlign w:val="center"/>
          </w:tcPr>
          <w:p>
            <w:pPr>
              <w:pStyle w:val="13"/>
              <w:ind w:firstLine="0" w:firstLineChars="0"/>
              <w:jc w:val="center"/>
              <w:rPr>
                <w:rFonts w:hint="eastAsia" w:ascii="仿宋" w:hAnsi="仿宋" w:eastAsia="仿宋" w:cs="仿宋"/>
                <w:kern w:val="0"/>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jc w:val="center"/>
              <w:rPr>
                <w:rFonts w:hint="default" w:eastAsia="方正书宋_GBK"/>
                <w:lang w:val="en-US" w:eastAsia="zh-CN"/>
              </w:rPr>
            </w:pPr>
            <w:r>
              <w:rPr>
                <w:rFonts w:hint="eastAsia"/>
              </w:rPr>
              <w:t>3、单价在50万元以上的设备</w:t>
            </w:r>
          </w:p>
        </w:tc>
        <w:tc>
          <w:tcPr>
            <w:tcW w:w="2835" w:type="dxa"/>
            <w:vAlign w:val="center"/>
          </w:tcPr>
          <w:p>
            <w:pPr>
              <w:pStyle w:val="14"/>
              <w:ind w:firstLine="0" w:firstLineChars="0"/>
              <w:jc w:val="center"/>
              <w:rPr>
                <w:rFonts w:hint="eastAsia" w:ascii="仿宋" w:hAnsi="仿宋" w:eastAsia="仿宋" w:cs="仿宋"/>
                <w:kern w:val="0"/>
                <w:sz w:val="32"/>
                <w:szCs w:val="32"/>
                <w:lang w:val="en-US" w:eastAsia="zh-CN" w:bidi="ar-SA"/>
              </w:rPr>
            </w:pPr>
          </w:p>
        </w:tc>
        <w:tc>
          <w:tcPr>
            <w:tcW w:w="2835" w:type="dxa"/>
            <w:vAlign w:val="center"/>
          </w:tcPr>
          <w:p>
            <w:pPr>
              <w:pStyle w:val="12"/>
              <w:ind w:firstLine="0" w:firstLineChars="0"/>
              <w:jc w:val="center"/>
              <w:rPr>
                <w:rFonts w:hint="eastAsia" w:ascii="宋体" w:hAnsi="宋体" w:eastAsia="宋体" w:cs="宋体"/>
                <w:i w:val="0"/>
                <w:iCs w:val="0"/>
                <w:color w:val="000000"/>
                <w:sz w:val="22"/>
                <w:szCs w:val="22"/>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ind w:firstLine="0" w:firstLineChars="0"/>
              <w:jc w:val="center"/>
              <w:rPr>
                <w:rFonts w:hint="default" w:eastAsia="方正书宋_GBK"/>
                <w:lang w:val="en-US" w:eastAsia="zh-CN"/>
              </w:rPr>
            </w:pPr>
            <w:r>
              <w:rPr>
                <w:rFonts w:hint="eastAsia"/>
                <w:lang w:val="en-US" w:eastAsia="zh-CN"/>
              </w:rPr>
              <w:t>4.其他固定资产</w:t>
            </w:r>
          </w:p>
        </w:tc>
        <w:tc>
          <w:tcPr>
            <w:tcW w:w="2835" w:type="dxa"/>
            <w:vAlign w:val="center"/>
          </w:tcPr>
          <w:p>
            <w:pPr>
              <w:pStyle w:val="14"/>
              <w:ind w:firstLine="0" w:firstLineChars="0"/>
              <w:jc w:val="center"/>
              <w:rPr>
                <w:rFonts w:hint="eastAsia" w:ascii="仿宋" w:hAnsi="仿宋" w:eastAsia="仿宋" w:cs="仿宋"/>
                <w:kern w:val="0"/>
                <w:sz w:val="32"/>
                <w:szCs w:val="32"/>
                <w:lang w:val="en-US" w:eastAsia="zh-CN" w:bidi="ar-SA"/>
              </w:rPr>
            </w:pPr>
          </w:p>
        </w:tc>
        <w:tc>
          <w:tcPr>
            <w:tcW w:w="2835" w:type="dxa"/>
            <w:vAlign w:val="center"/>
          </w:tcPr>
          <w:p>
            <w:pPr>
              <w:pStyle w:val="12"/>
              <w:ind w:firstLine="0" w:firstLineChars="0"/>
              <w:jc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6.0142</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C8F6D"/>
    <w:multiLevelType w:val="singleLevel"/>
    <w:tmpl w:val="17FC8F6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M1MGYzMjVkNzg5NTUxOWQxMmNhZTMyOTA0OTM2MzAifQ=="/>
  </w:docVars>
  <w:rsids>
    <w:rsidRoot w:val="00F2799E"/>
    <w:rsid w:val="007409DB"/>
    <w:rsid w:val="00AC23C4"/>
    <w:rsid w:val="00F2799E"/>
    <w:rsid w:val="00FD63CB"/>
    <w:rsid w:val="059F6B81"/>
    <w:rsid w:val="1E965458"/>
    <w:rsid w:val="36053E77"/>
    <w:rsid w:val="58F63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autoRedefine/>
    <w:semiHidden/>
    <w:unhideWhenUsed/>
    <w:qFormat/>
    <w:uiPriority w:val="99"/>
    <w:pPr>
      <w:tabs>
        <w:tab w:val="center" w:pos="4153"/>
        <w:tab w:val="right" w:pos="8306"/>
      </w:tabs>
      <w:snapToGrid w:val="0"/>
    </w:pPr>
    <w:rPr>
      <w:sz w:val="18"/>
      <w:szCs w:val="18"/>
    </w:rPr>
  </w:style>
  <w:style w:type="paragraph" w:styleId="3">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9">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0">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6">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7">
    <w:name w:val="单元格样式5"/>
    <w:qFormat/>
    <w:uiPriority w:val="0"/>
    <w:rPr>
      <w:rFonts w:ascii="方正书宋_GBK" w:hAnsi="方正书宋_GBK" w:eastAsia="方正书宋_GBK" w:cs="方正书宋_GBK"/>
      <w:b/>
      <w:sz w:val="21"/>
      <w:lang w:val="en-US" w:eastAsia="zh-CN" w:bidi="ar-SA"/>
    </w:rPr>
  </w:style>
  <w:style w:type="paragraph" w:customStyle="1" w:styleId="1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4"/>
    <w:basedOn w:val="1"/>
    <w:autoRedefine/>
    <w:qFormat/>
    <w:uiPriority w:val="0"/>
    <w:pPr>
      <w:ind w:left="720"/>
    </w:pPr>
  </w:style>
  <w:style w:type="paragraph" w:customStyle="1" w:styleId="24">
    <w:name w:val="TOC 1"/>
    <w:basedOn w:val="1"/>
    <w:autoRedefine/>
    <w:qFormat/>
    <w:uiPriority w:val="0"/>
    <w:pPr>
      <w:spacing w:before="120"/>
      <w:ind w:firstLine="560"/>
    </w:pPr>
    <w:rPr>
      <w:rFonts w:eastAsia="方正仿宋_GBK"/>
      <w:color w:val="000000"/>
      <w:sz w:val="28"/>
    </w:rPr>
  </w:style>
  <w:style w:type="character" w:customStyle="1" w:styleId="25">
    <w:name w:val="页眉 Char"/>
    <w:basedOn w:val="7"/>
    <w:link w:val="3"/>
    <w:semiHidden/>
    <w:uiPriority w:val="99"/>
    <w:rPr>
      <w:rFonts w:eastAsia="Times New Roman"/>
      <w:sz w:val="18"/>
      <w:szCs w:val="18"/>
      <w:lang w:eastAsia="uk-UA"/>
    </w:rPr>
  </w:style>
  <w:style w:type="character" w:customStyle="1" w:styleId="26">
    <w:name w:val="页脚 Char"/>
    <w:basedOn w:val="7"/>
    <w:link w:val="2"/>
    <w:semiHidden/>
    <w:uiPriority w:val="99"/>
    <w:rPr>
      <w:rFonts w:eastAsia="Times New Roman"/>
      <w:sz w:val="18"/>
      <w:szCs w:val="18"/>
      <w:lang w:eastAsia="uk-UA"/>
    </w:rPr>
  </w:style>
  <w:style w:type="paragraph" w:customStyle="1" w:styleId="27">
    <w:name w:val="插入文本样式-插入预算公开部门预算安排的总体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28</Pages>
  <Words>1611</Words>
  <Characters>9185</Characters>
  <Lines>76</Lines>
  <Paragraphs>21</Paragraphs>
  <TotalTime>0</TotalTime>
  <ScaleCrop>false</ScaleCrop>
  <LinksUpToDate>false</LinksUpToDate>
  <CharactersWithSpaces>10775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2025-02-26T07:16:00Z</dcterms:created>
  <dc:creator>Administrator</dc:creator>
  <cp:lastModifiedBy>Pizrik_</cp:lastModifiedBy>
  <dcterms:modified xsi:type="dcterms:W3CDTF">2025-03-03T09:28:37Z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2D290F8B6FD94BF89A901BCF9E98C02E_12</vt:lpwstr>
  </property>
</Properties>
</file>