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8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成安县自然资源和规划局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自然资源和规划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成安县自然资源和规划局对同一企业实施行政检查的年度频次上限为2次。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bookmarkStart w:id="0" w:name="_GoBack"/>
      <w:bookmarkEnd w:id="0"/>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64C116F-1119-4F7C-92BE-D549D80FAB7A}"/>
  </w:font>
  <w:font w:name="仿宋">
    <w:panose1 w:val="02010609060101010101"/>
    <w:charset w:val="86"/>
    <w:family w:val="auto"/>
    <w:pitch w:val="default"/>
    <w:sig w:usb0="800002BF" w:usb1="38CF7CFA" w:usb2="00000016" w:usb3="00000000" w:csb0="00040001" w:csb1="00000000"/>
    <w:embedRegular r:id="rId2" w:fontKey="{AA57AB43-BA26-43FB-AAFB-77DBE542C14E}"/>
  </w:font>
  <w:font w:name="方正仿宋_GB2312">
    <w:panose1 w:val="02000000000000000000"/>
    <w:charset w:val="86"/>
    <w:family w:val="auto"/>
    <w:pitch w:val="default"/>
    <w:sig w:usb0="A00002BF" w:usb1="184F6CFA" w:usb2="00000012" w:usb3="00000000" w:csb0="00040001" w:csb1="00000000"/>
    <w:embedRegular r:id="rId3" w:fontKey="{04CCC785-7521-4A9A-B8AD-4049D83477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0EA2FE0"/>
    <w:rsid w:val="213D1BBA"/>
    <w:rsid w:val="2CF9108B"/>
    <w:rsid w:val="30363BD3"/>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