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成安县应急管理局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应急管理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成安县应急管理局</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82FEC8E-62C2-4F3C-A60B-DB11A9C338DE}"/>
  </w:font>
  <w:font w:name="仿宋">
    <w:panose1 w:val="02010609060101010101"/>
    <w:charset w:val="86"/>
    <w:family w:val="auto"/>
    <w:pitch w:val="default"/>
    <w:sig w:usb0="800002BF" w:usb1="38CF7CFA" w:usb2="00000016" w:usb3="00000000" w:csb0="00040001" w:csb1="00000000"/>
    <w:embedRegular r:id="rId2" w:fontKey="{BB319F71-6622-41D4-9885-09F91CB3CF0E}"/>
  </w:font>
  <w:font w:name="方正仿宋_GB2312">
    <w:panose1 w:val="02000000000000000000"/>
    <w:charset w:val="86"/>
    <w:family w:val="auto"/>
    <w:pitch w:val="default"/>
    <w:sig w:usb0="A00002BF" w:usb1="184F6CFA" w:usb2="00000012" w:usb3="00000000" w:csb0="00040001" w:csb1="00000000"/>
    <w:embedRegular r:id="rId3" w:fontKey="{EE76FA31-4BDB-40C0-B8D6-A19CCA2DE7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4DA3712B"/>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