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43E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成安县教育体育局</w:t>
      </w:r>
    </w:p>
    <w:p w14:paraId="4CAEC0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center"/>
        <w:textAlignment w:val="auto"/>
        <w:rPr>
          <w:rFonts w:hint="eastAsia" w:ascii="仿宋" w:hAnsi="仿宋" w:eastAsia="仿宋" w:cs="仿宋"/>
          <w:i w:val="0"/>
          <w:iCs w:val="0"/>
          <w:caps w:val="0"/>
          <w:color w:val="333333"/>
          <w:spacing w:val="0"/>
          <w:kern w:val="0"/>
          <w:sz w:val="32"/>
          <w:szCs w:val="32"/>
          <w:lang w:val="en-US" w:eastAsia="zh-CN" w:bidi="ar"/>
        </w:rPr>
      </w:pPr>
      <w:r>
        <w:rPr>
          <w:rFonts w:hint="eastAsia" w:ascii="方正公文小标宋" w:hAnsi="方正公文小标宋" w:eastAsia="方正公文小标宋" w:cs="方正公文小标宋"/>
          <w:i w:val="0"/>
          <w:iCs w:val="0"/>
          <w:caps w:val="0"/>
          <w:color w:val="333333"/>
          <w:spacing w:val="0"/>
          <w:kern w:val="0"/>
          <w:sz w:val="44"/>
          <w:szCs w:val="44"/>
          <w:lang w:val="en-US" w:eastAsia="zh-CN" w:bidi="ar"/>
        </w:rPr>
        <w:t>关于涉企行政检查年度频次上限公告</w:t>
      </w:r>
    </w:p>
    <w:p w14:paraId="0772B7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Autospacing="0" w:after="0" w:afterAutospacing="0" w:line="600" w:lineRule="exact"/>
        <w:ind w:left="0" w:right="0" w:firstLine="64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根据河北省人民政府办</w:t>
      </w:r>
      <w:bookmarkStart w:id="0" w:name="_GoBack"/>
      <w:bookmarkEnd w:id="0"/>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公厅印发《关于严格规范涉企行政检查实施方案的通知》（冀政办字〔2025〕12号）和《成安县严格规范涉企行政执法整治“四乱”专项行动方案》要求，结合工作实际，现将成安县教育体育局涉企行政检查年度频次上限有关规定公告如下：</w:t>
      </w:r>
    </w:p>
    <w:p w14:paraId="06A04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成安县教育体育局对同一企业实施行政检查的年度频次上限为2次。</w:t>
      </w:r>
    </w:p>
    <w:p w14:paraId="42312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333333"/>
          <w:spacing w:val="0"/>
          <w:kern w:val="0"/>
          <w:sz w:val="32"/>
          <w:szCs w:val="32"/>
          <w:lang w:val="en-US" w:eastAsia="zh-CN" w:bidi="ar"/>
        </w:rPr>
        <w:t>根据投诉举报、转办交办、数据监测等线索确需实施行政检查，或者应企业申请实施行政检查的，安全生产和经批准报备的专项检查、重大案件查办不受频次上限限制。</w:t>
      </w:r>
    </w:p>
    <w:p w14:paraId="1BDFC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333333"/>
          <w:spacing w:val="0"/>
          <w:kern w:val="0"/>
          <w:sz w:val="32"/>
          <w:szCs w:val="32"/>
          <w:lang w:val="en-US" w:eastAsia="zh-CN" w:bidi="ar"/>
        </w:rPr>
        <w:t> </w:t>
      </w:r>
    </w:p>
    <w:p w14:paraId="5F118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1104926C-4B7A-4444-8A44-B665D8C1EAA4}"/>
  </w:font>
  <w:font w:name="仿宋">
    <w:panose1 w:val="02010609060101010101"/>
    <w:charset w:val="86"/>
    <w:family w:val="auto"/>
    <w:pitch w:val="default"/>
    <w:sig w:usb0="800002BF" w:usb1="38CF7CFA" w:usb2="00000016" w:usb3="00000000" w:csb0="00040001" w:csb1="00000000"/>
    <w:embedRegular r:id="rId2" w:fontKey="{6A576738-9665-41F8-B5F1-F8BE3FA48206}"/>
  </w:font>
  <w:font w:name="方正仿宋_GB2312">
    <w:panose1 w:val="02000000000000000000"/>
    <w:charset w:val="86"/>
    <w:family w:val="auto"/>
    <w:pitch w:val="default"/>
    <w:sig w:usb0="A00002BF" w:usb1="184F6CFA" w:usb2="00000012" w:usb3="00000000" w:csb0="00040001" w:csb1="00000000"/>
    <w:embedRegular r:id="rId3" w:fontKey="{8BF01A76-FB62-4EE5-A396-4F71E5110A1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6B36"/>
    <w:rsid w:val="1DBF3805"/>
    <w:rsid w:val="213D1BBA"/>
    <w:rsid w:val="2CF9108B"/>
    <w:rsid w:val="30363BD3"/>
    <w:rsid w:val="59EB7D21"/>
    <w:rsid w:val="64634A61"/>
    <w:rsid w:val="7968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241</Characters>
  <Lines>0</Lines>
  <Paragraphs>0</Paragraphs>
  <TotalTime>2</TotalTime>
  <ScaleCrop>false</ScaleCrop>
  <LinksUpToDate>false</LinksUpToDate>
  <CharactersWithSpaces>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2025-11-11T08:51:00Z</dcterms:created>
  <dc:creator>Administrator</dc:creator>
  <cp:lastModifiedBy>宋昕玥</cp:lastModifiedBy>
  <dcterms:modified xsi:type="dcterms:W3CDTF">2025-11-11T09:24:09Z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F46EE95626EF41AE96CF3A70E43352A9_12</vt:lpwstr>
  </property>
</Properties>
</file>