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 w:bidi="ar"/>
        </w:rPr>
        <w:t>2016年度成安县县委宣传部预算公开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部门预算有关事项说明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  <w:lang w:val="en-US" w:eastAsia="zh-CN" w:bidi="ar"/>
        </w:rPr>
        <w:t>一、部门预算总体情况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2016年预算总收入266.44万元。其中：一般公共预算拨款为266.44万元，政府性基金预算拨款0万元；国有资本经营预算拨款0万元。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2016年财政拨款收入266.44万元，其中一般公共预算拨款266.44万元。财政拨款支出266.44万元，其中人员经费支出预算132.7万元，公用经费支出预算22.5万元，专项公用经费111.24万元。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  <w:lang w:val="en-US" w:eastAsia="zh-CN" w:bidi="ar"/>
        </w:rPr>
        <w:t>二、机关运行经费情况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2016年机关运行经费预算收入22.5万元，其中：办公费4.62万元、印刷费1.7万元、邮电费3.03万元、差旅费5.76万元、会议费1.5万元、公务用车运行维护费（含补贴）5.44万元。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  <w:lang w:val="en-US" w:eastAsia="zh-CN" w:bidi="ar"/>
        </w:rPr>
        <w:t>三、财政拨款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 w:bidi="ar"/>
        </w:rPr>
        <w:t>三公</w: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val="en-US" w:eastAsia="zh-CN" w:bidi="ar"/>
        </w:rPr>
        <w:t>”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 w:bidi="ar"/>
        </w:rPr>
        <w:t>经费预算情况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2016年三公”经费预算5.15万</w:t>
      </w:r>
      <w:bookmarkStart w:id="0" w:name="_GoBack"/>
      <w:bookmarkEnd w:id="0"/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元，其中，</w:t>
      </w:r>
      <w:r>
        <w:rPr>
          <w:rFonts w:hint="default" w:ascii="仿宋_GB2312" w:hAnsi="微软雅黑" w:eastAsia="仿宋_GB2312" w:cs="仿宋_GB2312"/>
          <w:color w:val="000000"/>
          <w:kern w:val="0"/>
          <w:sz w:val="30"/>
          <w:szCs w:val="30"/>
          <w:lang w:val="en-US" w:eastAsia="zh-CN" w:bidi="ar"/>
        </w:rPr>
        <w:t>一般公共预算政拨款5.15万元，包括</w:t>
      </w:r>
      <w:r>
        <w:rPr>
          <w:rFonts w:hint="default" w:ascii="仿宋_GB2312" w:hAnsi="微软雅黑" w:eastAsia="仿宋_GB2312" w:cs="仿宋_GB2312"/>
          <w:kern w:val="0"/>
          <w:sz w:val="30"/>
          <w:szCs w:val="30"/>
          <w:lang w:val="en-US" w:eastAsia="zh-CN" w:bidi="ar"/>
        </w:rPr>
        <w:t>公务招待费0.45万元，因公出国境经费0万元，公务用车运行维护费4.7万元，公务用车购置费0万元，较上年增减变化情况为:按照上级文件规定完成了三公经费的递减。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四、名词解释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color w:val="000000"/>
          <w:kern w:val="0"/>
          <w:sz w:val="30"/>
          <w:szCs w:val="30"/>
          <w:lang w:val="en-US" w:eastAsia="zh-CN" w:bidi="ar"/>
        </w:rPr>
        <w:t>“三公”经费：指财政拨款支出安排的出国（境）费、车辆购置及运行费、公务接待费这三项经费。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color w:val="000000"/>
          <w:kern w:val="0"/>
          <w:sz w:val="30"/>
          <w:szCs w:val="30"/>
          <w:lang w:val="en-US" w:eastAsia="zh-CN" w:bidi="ar"/>
        </w:rPr>
        <w:t>基本支出：为了保障部门机关的正常运转、并且完成日常的工作，财政拨款的人员经费支出和公用经费支出。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79FE"/>
    <w:rsid w:val="148E778C"/>
    <w:rsid w:val="15453602"/>
    <w:rsid w:val="370B663B"/>
    <w:rsid w:val="7BBC3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1F1F1F"/>
      <w:u w:val="none"/>
    </w:rPr>
  </w:style>
  <w:style w:type="character" w:styleId="4">
    <w:name w:val="Hyperlink"/>
    <w:basedOn w:val="2"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2016-12-06T02:55:45Z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